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35" w:rsidRDefault="00212835">
      <w:pPr>
        <w:framePr w:w="1530" w:h="1440" w:hRule="exact" w:hSpace="180" w:wrap="around" w:vAnchor="text" w:hAnchor="page" w:x="1018" w:y="-1010"/>
        <w:tabs>
          <w:tab w:val="center" w:pos="3960"/>
        </w:tabs>
        <w:ind w:right="90"/>
      </w:pPr>
      <w:r>
        <w:object w:dxaOrig="1560" w:dyaOrig="14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15pt;height:75.25pt" o:ole="">
            <v:imagedata r:id="rId7" o:title="" cropbottom="6531f"/>
          </v:shape>
          <o:OLEObject Type="Embed" ProgID="Word.Document.8" ShapeID="_x0000_i1025" DrawAspect="Content" ObjectID="_1363766971" r:id="rId8"/>
        </w:object>
      </w:r>
    </w:p>
    <w:p w:rsidR="00212835" w:rsidRDefault="00212835">
      <w:pPr>
        <w:framePr w:w="9360" w:h="2160" w:hRule="exact" w:hSpace="187" w:wrap="around" w:vAnchor="page" w:hAnchor="text" w:xAlign="center" w:y="1" w:anchorLock="1"/>
        <w:tabs>
          <w:tab w:val="center" w:pos="4860"/>
        </w:tabs>
        <w:spacing w:before="840"/>
        <w:rPr>
          <w:b/>
          <w:sz w:val="56"/>
        </w:rPr>
      </w:pPr>
      <w:r>
        <w:rPr>
          <w:rFonts w:ascii="CG Times (W1)" w:hAnsi="CG Times (W1)"/>
          <w:sz w:val="48"/>
        </w:rPr>
        <w:tab/>
      </w:r>
      <w:r>
        <w:rPr>
          <w:b/>
          <w:sz w:val="56"/>
        </w:rPr>
        <w:t xml:space="preserve">SBA </w:t>
      </w:r>
      <w:r w:rsidR="00915CD0">
        <w:rPr>
          <w:b/>
          <w:sz w:val="56"/>
        </w:rPr>
        <w:t>Policy</w:t>
      </w:r>
      <w:r>
        <w:rPr>
          <w:b/>
          <w:sz w:val="56"/>
        </w:rPr>
        <w:t xml:space="preserve"> Notice</w:t>
      </w:r>
    </w:p>
    <w:p w:rsidR="00212835" w:rsidRDefault="00212835">
      <w:pPr>
        <w:framePr w:w="9360" w:h="2160" w:hRule="exact" w:hSpace="187" w:wrap="around" w:vAnchor="page" w:hAnchor="text" w:xAlign="center" w:y="1" w:anchorLock="1"/>
        <w:tabs>
          <w:tab w:val="center" w:pos="4860"/>
        </w:tabs>
        <w:spacing w:before="840"/>
        <w:rPr>
          <w:b/>
          <w:sz w:val="56"/>
        </w:rPr>
      </w:pPr>
    </w:p>
    <w:p w:rsidR="00212835" w:rsidRDefault="00212835">
      <w:pPr>
        <w:framePr w:w="9360" w:h="2160" w:hRule="exact" w:hSpace="187" w:wrap="around" w:vAnchor="page" w:hAnchor="text" w:xAlign="center" w:y="1" w:anchorLock="1"/>
        <w:tabs>
          <w:tab w:val="center" w:pos="4860"/>
        </w:tabs>
        <w:spacing w:before="840"/>
        <w:rPr>
          <w:b/>
          <w:sz w:val="56"/>
        </w:rPr>
      </w:pPr>
      <w:r>
        <w:rPr>
          <w:b/>
          <w:sz w:val="56"/>
        </w:rPr>
        <w:t>g</w:t>
      </w:r>
    </w:p>
    <w:p w:rsidR="00212835" w:rsidRDefault="008A5EF4">
      <w:pPr>
        <w:framePr w:w="9360" w:h="2160" w:hRule="exact" w:hSpace="187" w:wrap="around" w:vAnchor="page" w:hAnchor="text" w:xAlign="center" w:y="1" w:anchorLock="1"/>
        <w:tabs>
          <w:tab w:val="right" w:pos="2520"/>
        </w:tabs>
        <w:rPr>
          <w:rFonts w:ascii="CG Times (W1)" w:hAnsi="CG Times (W1)"/>
          <w:sz w:val="16"/>
        </w:rPr>
      </w:pPr>
      <w:r>
        <w:rPr>
          <w:rFonts w:ascii="CG Times (W1)" w:hAnsi="CG Times (W1)"/>
          <w:sz w:val="16"/>
        </w:rPr>
        <w:fldChar w:fldCharType="begin"/>
      </w:r>
      <w:r w:rsidR="00212835">
        <w:rPr>
          <w:rFonts w:ascii="CG Times (W1)" w:hAnsi="CG Times (W1)"/>
          <w:sz w:val="16"/>
        </w:rPr>
        <w:instrText xml:space="preserve"> Set ExpDate"11/5/96" </w:instrText>
      </w:r>
      <w:r>
        <w:rPr>
          <w:rFonts w:ascii="CG Times (W1)" w:hAnsi="CG Times (W1)"/>
          <w:sz w:val="16"/>
        </w:rPr>
        <w:fldChar w:fldCharType="separate"/>
      </w:r>
      <w:r w:rsidR="00212835">
        <w:rPr>
          <w:rFonts w:ascii="CG Times (W1)" w:hAnsi="CG Times (W1)"/>
          <w:noProof/>
          <w:sz w:val="16"/>
        </w:rPr>
        <w:t>11/5/96</w:t>
      </w:r>
      <w:r>
        <w:rPr>
          <w:rFonts w:ascii="CG Times (W1)" w:hAnsi="CG Times (W1)"/>
          <w:sz w:val="16"/>
        </w:rPr>
        <w:fldChar w:fldCharType="end"/>
      </w:r>
      <w:r>
        <w:rPr>
          <w:rFonts w:ascii="CG Times (W1)" w:hAnsi="CG Times (W1)"/>
          <w:sz w:val="16"/>
        </w:rPr>
        <w:fldChar w:fldCharType="begin"/>
      </w:r>
      <w:r w:rsidR="00212835">
        <w:rPr>
          <w:rFonts w:ascii="CG Times (W1)" w:hAnsi="CG Times (W1)"/>
          <w:sz w:val="16"/>
        </w:rPr>
        <w:instrText xml:space="preserve"> Set ExpDate"12/31/96" </w:instrText>
      </w:r>
      <w:r>
        <w:rPr>
          <w:rFonts w:ascii="CG Times (W1)" w:hAnsi="CG Times (W1)"/>
          <w:sz w:val="16"/>
        </w:rPr>
        <w:fldChar w:fldCharType="separate"/>
      </w:r>
      <w:r w:rsidR="00212835">
        <w:rPr>
          <w:rFonts w:ascii="CG Times (W1)" w:hAnsi="CG Times (W1)"/>
          <w:noProof/>
          <w:sz w:val="16"/>
        </w:rPr>
        <w:t>12/31/96</w:t>
      </w:r>
      <w:r>
        <w:rPr>
          <w:rFonts w:ascii="CG Times (W1)" w:hAnsi="CG Times (W1)"/>
          <w:sz w:val="16"/>
        </w:rPr>
        <w:fldChar w:fldCharType="end"/>
      </w:r>
    </w:p>
    <w:tbl>
      <w:tblPr>
        <w:tblW w:w="0" w:type="auto"/>
        <w:tblLayout w:type="fixed"/>
        <w:tblCellMar>
          <w:left w:w="93" w:type="dxa"/>
          <w:right w:w="93" w:type="dxa"/>
        </w:tblCellMar>
        <w:tblLook w:val="0000"/>
      </w:tblPr>
      <w:tblGrid>
        <w:gridCol w:w="738"/>
        <w:gridCol w:w="846"/>
        <w:gridCol w:w="3819"/>
        <w:gridCol w:w="1958"/>
        <w:gridCol w:w="2186"/>
      </w:tblGrid>
      <w:tr w:rsidR="00212835">
        <w:trPr>
          <w:trHeight w:val="800"/>
        </w:trPr>
        <w:tc>
          <w:tcPr>
            <w:tcW w:w="738" w:type="dxa"/>
            <w:tcBorders>
              <w:top w:val="single" w:sz="6" w:space="0" w:color="auto"/>
            </w:tcBorders>
          </w:tcPr>
          <w:p w:rsidR="00212835" w:rsidRDefault="00212835">
            <w:pPr>
              <w:suppressAutoHyphens/>
              <w:spacing w:before="120"/>
              <w:rPr>
                <w:rFonts w:ascii="Arial" w:hAnsi="Arial"/>
                <w:b/>
                <w:sz w:val="24"/>
              </w:rPr>
            </w:pPr>
            <w:r>
              <w:rPr>
                <w:rFonts w:ascii="Arial" w:hAnsi="Arial"/>
                <w:b/>
                <w:sz w:val="28"/>
              </w:rPr>
              <w:t>TO</w:t>
            </w:r>
            <w:r>
              <w:rPr>
                <w:rFonts w:ascii="Arial" w:hAnsi="Arial"/>
                <w:b/>
                <w:sz w:val="24"/>
              </w:rPr>
              <w:t>:</w:t>
            </w:r>
          </w:p>
        </w:tc>
        <w:tc>
          <w:tcPr>
            <w:tcW w:w="4665" w:type="dxa"/>
            <w:gridSpan w:val="2"/>
            <w:tcBorders>
              <w:top w:val="single" w:sz="6" w:space="0" w:color="auto"/>
            </w:tcBorders>
          </w:tcPr>
          <w:p w:rsidR="00212835" w:rsidRDefault="00915CD0">
            <w:pPr>
              <w:suppressAutoHyphens/>
              <w:spacing w:before="120"/>
              <w:rPr>
                <w:rFonts w:ascii="Arial" w:hAnsi="Arial"/>
                <w:sz w:val="24"/>
              </w:rPr>
            </w:pPr>
            <w:bookmarkStart w:id="0" w:name="ToNames"/>
            <w:bookmarkEnd w:id="0"/>
            <w:r>
              <w:rPr>
                <w:rFonts w:ascii="Arial" w:hAnsi="Arial"/>
                <w:sz w:val="24"/>
              </w:rPr>
              <w:t>All SBA Employees</w:t>
            </w:r>
          </w:p>
        </w:tc>
        <w:tc>
          <w:tcPr>
            <w:tcW w:w="1958" w:type="dxa"/>
            <w:tcBorders>
              <w:top w:val="single" w:sz="6" w:space="0" w:color="auto"/>
            </w:tcBorders>
          </w:tcPr>
          <w:p w:rsidR="00212835" w:rsidRDefault="00212835">
            <w:pPr>
              <w:suppressAutoHyphens/>
              <w:spacing w:before="120"/>
              <w:rPr>
                <w:rFonts w:ascii="Arial" w:hAnsi="Arial"/>
                <w:sz w:val="24"/>
              </w:rPr>
            </w:pPr>
            <w:r>
              <w:rPr>
                <w:rFonts w:ascii="Arial" w:hAnsi="Arial"/>
                <w:b/>
                <w:sz w:val="24"/>
              </w:rPr>
              <w:t>CONTROL NO.:</w:t>
            </w:r>
          </w:p>
        </w:tc>
        <w:tc>
          <w:tcPr>
            <w:tcW w:w="2182" w:type="dxa"/>
            <w:tcBorders>
              <w:top w:val="single" w:sz="6" w:space="0" w:color="auto"/>
            </w:tcBorders>
          </w:tcPr>
          <w:p w:rsidR="00212835" w:rsidRDefault="00D15115">
            <w:pPr>
              <w:suppressAutoHyphens/>
              <w:spacing w:before="120"/>
              <w:rPr>
                <w:rFonts w:ascii="Arial" w:hAnsi="Arial"/>
              </w:rPr>
            </w:pPr>
            <w:bookmarkStart w:id="1" w:name="Control"/>
            <w:bookmarkEnd w:id="1"/>
            <w:r>
              <w:rPr>
                <w:rFonts w:ascii="Arial" w:hAnsi="Arial"/>
              </w:rPr>
              <w:t>5000-1204</w:t>
            </w:r>
          </w:p>
        </w:tc>
      </w:tr>
      <w:tr w:rsidR="00212835">
        <w:trPr>
          <w:trHeight w:val="480"/>
        </w:trPr>
        <w:tc>
          <w:tcPr>
            <w:tcW w:w="1584" w:type="dxa"/>
            <w:gridSpan w:val="2"/>
            <w:tcBorders>
              <w:bottom w:val="single" w:sz="6" w:space="0" w:color="auto"/>
            </w:tcBorders>
          </w:tcPr>
          <w:p w:rsidR="00212835" w:rsidRDefault="00212835">
            <w:pPr>
              <w:suppressAutoHyphens/>
              <w:rPr>
                <w:rFonts w:ascii="Arial" w:hAnsi="Arial"/>
                <w:sz w:val="24"/>
              </w:rPr>
            </w:pPr>
            <w:r>
              <w:rPr>
                <w:rFonts w:ascii="Arial" w:hAnsi="Arial"/>
                <w:b/>
                <w:sz w:val="28"/>
              </w:rPr>
              <w:t>SUBJECT</w:t>
            </w:r>
            <w:r>
              <w:rPr>
                <w:rFonts w:ascii="Arial" w:hAnsi="Arial"/>
                <w:sz w:val="24"/>
              </w:rPr>
              <w:t>:</w:t>
            </w:r>
          </w:p>
        </w:tc>
        <w:tc>
          <w:tcPr>
            <w:tcW w:w="3819" w:type="dxa"/>
            <w:tcBorders>
              <w:bottom w:val="single" w:sz="6" w:space="0" w:color="auto"/>
            </w:tcBorders>
          </w:tcPr>
          <w:p w:rsidR="00212835" w:rsidRPr="00CC5ACB" w:rsidRDefault="00CC5ACB">
            <w:pPr>
              <w:suppressAutoHyphens/>
              <w:rPr>
                <w:rFonts w:ascii="Arial" w:hAnsi="Arial" w:cs="Arial"/>
                <w:sz w:val="24"/>
                <w:szCs w:val="24"/>
              </w:rPr>
            </w:pPr>
            <w:bookmarkStart w:id="2" w:name="Subject"/>
            <w:bookmarkEnd w:id="2"/>
            <w:r w:rsidRPr="00CC5ACB">
              <w:rPr>
                <w:rFonts w:ascii="Arial" w:hAnsi="Arial" w:cs="Arial"/>
                <w:sz w:val="24"/>
                <w:szCs w:val="24"/>
              </w:rPr>
              <w:t>Further Guidance on Refinancing Debt in the 504 Certified Development Company Loan Program as Authorized by the Small Business Jobs Act</w:t>
            </w:r>
          </w:p>
        </w:tc>
        <w:tc>
          <w:tcPr>
            <w:tcW w:w="1954" w:type="dxa"/>
            <w:tcBorders>
              <w:bottom w:val="single" w:sz="6" w:space="0" w:color="auto"/>
            </w:tcBorders>
          </w:tcPr>
          <w:p w:rsidR="00212835" w:rsidRDefault="00212835">
            <w:pPr>
              <w:suppressAutoHyphens/>
              <w:rPr>
                <w:sz w:val="24"/>
              </w:rPr>
            </w:pPr>
            <w:r>
              <w:rPr>
                <w:rFonts w:ascii="Arial" w:hAnsi="Arial"/>
                <w:b/>
                <w:sz w:val="24"/>
              </w:rPr>
              <w:t>EFFECTIVE:</w:t>
            </w:r>
          </w:p>
        </w:tc>
        <w:tc>
          <w:tcPr>
            <w:tcW w:w="2186" w:type="dxa"/>
            <w:tcBorders>
              <w:bottom w:val="single" w:sz="6" w:space="0" w:color="auto"/>
            </w:tcBorders>
          </w:tcPr>
          <w:p w:rsidR="00212835" w:rsidRDefault="00D15115">
            <w:pPr>
              <w:suppressAutoHyphens/>
              <w:rPr>
                <w:rFonts w:ascii="Arial" w:hAnsi="Arial"/>
              </w:rPr>
            </w:pPr>
            <w:bookmarkStart w:id="3" w:name="Effective"/>
            <w:bookmarkEnd w:id="3"/>
            <w:r>
              <w:rPr>
                <w:rFonts w:ascii="Arial" w:hAnsi="Arial"/>
              </w:rPr>
              <w:t>4/8/2011</w:t>
            </w:r>
          </w:p>
        </w:tc>
      </w:tr>
    </w:tbl>
    <w:p w:rsidR="00930341" w:rsidRDefault="00930341" w:rsidP="00930341">
      <w:pPr>
        <w:rPr>
          <w:sz w:val="24"/>
          <w:szCs w:val="24"/>
        </w:rPr>
      </w:pPr>
    </w:p>
    <w:p w:rsidR="00CC5ACB" w:rsidRPr="00CC5ACB" w:rsidRDefault="00CC5ACB" w:rsidP="00CC5ACB">
      <w:pPr>
        <w:rPr>
          <w:b/>
          <w:sz w:val="24"/>
          <w:szCs w:val="24"/>
          <w:u w:val="single"/>
        </w:rPr>
      </w:pPr>
      <w:r w:rsidRPr="00CC5ACB">
        <w:rPr>
          <w:sz w:val="24"/>
          <w:szCs w:val="24"/>
        </w:rPr>
        <w:t>On February 17, 2011, SBA issued Policy Notice 5000-1197 to provide guidance on the 504 Certified Development Company Loan Program Regarding Debt Refinancing Authorized by the Small Business Jobs Act, P.L. 111-240 (Temporary Debt Refinancing Program).  This Policy Notice provides further guidance with respect to certain standby requirements, modification or assignments of existing loan documents, the use of an Interim Lender or escrow account, and the refinancing of same institution debt.</w:t>
      </w:r>
    </w:p>
    <w:p w:rsidR="00CC5ACB" w:rsidRPr="00CC5ACB" w:rsidRDefault="00CC5ACB" w:rsidP="00CC5ACB">
      <w:pPr>
        <w:rPr>
          <w:b/>
          <w:sz w:val="24"/>
          <w:szCs w:val="24"/>
          <w:u w:val="single"/>
        </w:rPr>
      </w:pPr>
    </w:p>
    <w:p w:rsidR="00CC5ACB" w:rsidRPr="00CC5ACB" w:rsidRDefault="00CC5ACB" w:rsidP="00CC5ACB">
      <w:pPr>
        <w:rPr>
          <w:b/>
          <w:sz w:val="24"/>
          <w:szCs w:val="24"/>
          <w:u w:val="single"/>
        </w:rPr>
      </w:pPr>
      <w:r w:rsidRPr="00CC5ACB">
        <w:rPr>
          <w:b/>
          <w:sz w:val="24"/>
          <w:szCs w:val="24"/>
          <w:u w:val="single"/>
        </w:rPr>
        <w:t>Standby Requirement</w:t>
      </w:r>
    </w:p>
    <w:p w:rsidR="00CC5ACB" w:rsidRPr="00CC5ACB" w:rsidRDefault="00CC5ACB" w:rsidP="00CC5ACB">
      <w:pPr>
        <w:rPr>
          <w:b/>
          <w:sz w:val="24"/>
          <w:szCs w:val="24"/>
          <w:u w:val="single"/>
        </w:rPr>
      </w:pPr>
    </w:p>
    <w:p w:rsidR="00CC5ACB" w:rsidRPr="00CC5ACB" w:rsidRDefault="00CC5ACB" w:rsidP="00CC5ACB">
      <w:pPr>
        <w:rPr>
          <w:sz w:val="24"/>
          <w:szCs w:val="24"/>
        </w:rPr>
      </w:pPr>
      <w:r w:rsidRPr="00CC5ACB">
        <w:rPr>
          <w:sz w:val="24"/>
          <w:szCs w:val="24"/>
        </w:rPr>
        <w:t xml:space="preserve">SBA provided in Policy Notice 5000-1197 that in cases in which there was a deficiency remaining on the debt to be refinanced, the Agency would determine what effect, if any, the disposition of the deficiency had on the Borrower’s creditworthiness and that SBA may place additional restrictions on the remaining debt, such as requiring that the debt be placed on standby during the term of the 504 loan.  </w:t>
      </w:r>
      <w:r w:rsidRPr="00CC5ACB">
        <w:rPr>
          <w:i/>
          <w:sz w:val="24"/>
          <w:szCs w:val="24"/>
        </w:rPr>
        <w:t xml:space="preserve">See </w:t>
      </w:r>
      <w:r w:rsidRPr="00CC5ACB">
        <w:rPr>
          <w:sz w:val="24"/>
          <w:szCs w:val="24"/>
        </w:rPr>
        <w:t xml:space="preserve">¶ (12)(a) of Policy Notice 5000-1197.  In Examples 2 and 3 set forth in Policy Notice 5000-1197, SBA indicated that if the Borrower executed a new Note for the remaining debt, that Note must be subordinate and “…is subject to any other restrictions that SBA may establish, including a requirement that the loan be on standby for not less than three years.”  </w:t>
      </w:r>
      <w:r w:rsidRPr="00CC5ACB">
        <w:rPr>
          <w:i/>
          <w:sz w:val="24"/>
          <w:szCs w:val="24"/>
        </w:rPr>
        <w:t xml:space="preserve">See </w:t>
      </w:r>
      <w:r w:rsidRPr="00CC5ACB">
        <w:rPr>
          <w:sz w:val="24"/>
          <w:szCs w:val="24"/>
        </w:rPr>
        <w:t xml:space="preserve">¶ (12)(d) of Policy Notice 5000-1197.  The purpose of this Policy Notice is to clarify that SBA will consider alternative recommendations by the CDC concerning the subordinate debt, and will consider, on a case-by-case basis, based on the Borrower’s cash flow and credit risk: </w:t>
      </w:r>
    </w:p>
    <w:p w:rsidR="00CC5ACB" w:rsidRPr="00CC5ACB" w:rsidRDefault="00CC5ACB" w:rsidP="00CC5ACB">
      <w:pPr>
        <w:numPr>
          <w:ilvl w:val="0"/>
          <w:numId w:val="31"/>
        </w:numPr>
        <w:rPr>
          <w:sz w:val="24"/>
          <w:szCs w:val="24"/>
        </w:rPr>
      </w:pPr>
      <w:r w:rsidRPr="00CC5ACB">
        <w:rPr>
          <w:sz w:val="24"/>
          <w:szCs w:val="24"/>
        </w:rPr>
        <w:t xml:space="preserve">whether the Note covering the deficiency should be placed on standby; </w:t>
      </w:r>
    </w:p>
    <w:p w:rsidR="00CC5ACB" w:rsidRPr="00CC5ACB" w:rsidRDefault="00CC5ACB" w:rsidP="00CC5ACB">
      <w:pPr>
        <w:numPr>
          <w:ilvl w:val="0"/>
          <w:numId w:val="31"/>
        </w:numPr>
        <w:rPr>
          <w:sz w:val="24"/>
          <w:szCs w:val="24"/>
        </w:rPr>
      </w:pPr>
      <w:r w:rsidRPr="00CC5ACB">
        <w:rPr>
          <w:sz w:val="24"/>
          <w:szCs w:val="24"/>
        </w:rPr>
        <w:t>whether the standby should be full or partial (</w:t>
      </w:r>
      <w:r w:rsidRPr="00CC5ACB">
        <w:rPr>
          <w:i/>
          <w:sz w:val="24"/>
          <w:szCs w:val="24"/>
        </w:rPr>
        <w:t>e.g.</w:t>
      </w:r>
      <w:r w:rsidRPr="00CC5ACB">
        <w:rPr>
          <w:sz w:val="24"/>
          <w:szCs w:val="24"/>
        </w:rPr>
        <w:t>, only payments of interest permitted); and</w:t>
      </w:r>
    </w:p>
    <w:p w:rsidR="00CC5ACB" w:rsidRPr="00CC5ACB" w:rsidRDefault="00CC5ACB" w:rsidP="00CC5ACB">
      <w:pPr>
        <w:numPr>
          <w:ilvl w:val="0"/>
          <w:numId w:val="31"/>
        </w:numPr>
        <w:rPr>
          <w:sz w:val="24"/>
          <w:szCs w:val="24"/>
        </w:rPr>
      </w:pPr>
      <w:r w:rsidRPr="00CC5ACB">
        <w:rPr>
          <w:sz w:val="24"/>
          <w:szCs w:val="24"/>
        </w:rPr>
        <w:t xml:space="preserve">if the Note is placed on standby, the duration of the standby.  </w:t>
      </w:r>
    </w:p>
    <w:p w:rsidR="00CC5ACB" w:rsidRPr="00CC5ACB" w:rsidRDefault="00CC5ACB" w:rsidP="00CC5ACB">
      <w:pPr>
        <w:rPr>
          <w:sz w:val="24"/>
          <w:szCs w:val="24"/>
        </w:rPr>
      </w:pPr>
    </w:p>
    <w:p w:rsidR="00CC5ACB" w:rsidRPr="00CC5ACB" w:rsidRDefault="00CC5ACB" w:rsidP="00CC5ACB">
      <w:pPr>
        <w:rPr>
          <w:b/>
          <w:sz w:val="24"/>
          <w:szCs w:val="24"/>
          <w:u w:val="single"/>
        </w:rPr>
      </w:pPr>
      <w:r w:rsidRPr="00CC5ACB">
        <w:rPr>
          <w:b/>
          <w:sz w:val="24"/>
          <w:szCs w:val="24"/>
          <w:u w:val="single"/>
        </w:rPr>
        <w:t>Modification or Assignment of Existing Loan Documents</w:t>
      </w:r>
    </w:p>
    <w:p w:rsidR="00CC5ACB" w:rsidRPr="00CC5ACB" w:rsidRDefault="00CC5ACB" w:rsidP="00CC5ACB">
      <w:pPr>
        <w:rPr>
          <w:b/>
          <w:sz w:val="24"/>
          <w:szCs w:val="24"/>
          <w:u w:val="single"/>
        </w:rPr>
      </w:pPr>
    </w:p>
    <w:p w:rsidR="00CC5ACB" w:rsidRPr="00CC5ACB" w:rsidRDefault="00CC5ACB" w:rsidP="00442FCC">
      <w:pPr>
        <w:ind w:right="-360"/>
        <w:rPr>
          <w:sz w:val="24"/>
          <w:szCs w:val="24"/>
        </w:rPr>
      </w:pPr>
      <w:r w:rsidRPr="00CC5ACB">
        <w:rPr>
          <w:sz w:val="24"/>
          <w:szCs w:val="24"/>
        </w:rPr>
        <w:t xml:space="preserve">When the loan being refinanced is Same Institution Debt, as defined in 13 CFR § 120.882(g)(15), the Third Party Lender may modify its existing loan documents (Note, Deed of Trust/Mortgage, etc.) instead of requiring the Borrower to execute and record new loan documents for the Third Party Loan.  </w:t>
      </w:r>
    </w:p>
    <w:p w:rsidR="00CC5ACB" w:rsidRPr="00CC5ACB" w:rsidRDefault="00CC5ACB" w:rsidP="00CC5ACB">
      <w:pPr>
        <w:rPr>
          <w:sz w:val="24"/>
          <w:szCs w:val="24"/>
        </w:rPr>
      </w:pPr>
    </w:p>
    <w:p w:rsidR="00CC5ACB" w:rsidRPr="00CC5ACB" w:rsidRDefault="00CC5ACB" w:rsidP="00CC5ACB">
      <w:pPr>
        <w:rPr>
          <w:sz w:val="24"/>
          <w:szCs w:val="24"/>
        </w:rPr>
      </w:pPr>
      <w:r w:rsidRPr="00CC5ACB">
        <w:rPr>
          <w:sz w:val="24"/>
          <w:szCs w:val="24"/>
        </w:rPr>
        <w:lastRenderedPageBreak/>
        <w:t>With respect to other institution debt (</w:t>
      </w:r>
      <w:r w:rsidRPr="00CC5ACB">
        <w:rPr>
          <w:i/>
          <w:sz w:val="24"/>
          <w:szCs w:val="24"/>
        </w:rPr>
        <w:t>i.e</w:t>
      </w:r>
      <w:r w:rsidRPr="00CC5ACB">
        <w:rPr>
          <w:sz w:val="24"/>
          <w:szCs w:val="24"/>
        </w:rPr>
        <w:t>., debt that is not Same Institution Debt), SBA may permit the Lender of the debt to be refinanced to assign its existing loan documents to the Interim Lender if an Interim Lender is used, or to the Third Party Lender if no Interim Lender is used.  The existing loan documents may be modified, as appropriate rather than requiring that new documents be executed for the Refinancing Project.  The Interim Lender, if any, may then assign the documents to the Third Party Lender.</w:t>
      </w:r>
    </w:p>
    <w:p w:rsidR="00CC5ACB" w:rsidRPr="00CC5ACB" w:rsidRDefault="00CC5ACB" w:rsidP="00CC5ACB">
      <w:pPr>
        <w:rPr>
          <w:sz w:val="24"/>
          <w:szCs w:val="24"/>
        </w:rPr>
      </w:pPr>
    </w:p>
    <w:p w:rsidR="00CC5ACB" w:rsidRPr="00CC5ACB" w:rsidRDefault="00CC5ACB" w:rsidP="00CC5ACB">
      <w:pPr>
        <w:rPr>
          <w:sz w:val="24"/>
          <w:szCs w:val="24"/>
        </w:rPr>
      </w:pPr>
      <w:r w:rsidRPr="00CC5ACB">
        <w:rPr>
          <w:sz w:val="24"/>
          <w:szCs w:val="24"/>
        </w:rPr>
        <w:t>All modified loan documents must meet SBA’s regulatory requirements for a Third Party Loan (</w:t>
      </w:r>
      <w:r w:rsidRPr="00CC5ACB">
        <w:rPr>
          <w:i/>
          <w:sz w:val="24"/>
          <w:szCs w:val="24"/>
        </w:rPr>
        <w:t>see</w:t>
      </w:r>
      <w:r w:rsidRPr="00CC5ACB">
        <w:rPr>
          <w:sz w:val="24"/>
          <w:szCs w:val="24"/>
        </w:rPr>
        <w:t xml:space="preserve"> 13 CFR § 120.920 and 120.921).  </w:t>
      </w:r>
    </w:p>
    <w:p w:rsidR="00CC5ACB" w:rsidRPr="00CC5ACB" w:rsidRDefault="00CC5ACB" w:rsidP="00CC5ACB">
      <w:pPr>
        <w:rPr>
          <w:sz w:val="24"/>
          <w:szCs w:val="24"/>
        </w:rPr>
      </w:pPr>
    </w:p>
    <w:p w:rsidR="00CC5ACB" w:rsidRPr="00CC5ACB" w:rsidRDefault="00CC5ACB" w:rsidP="00CC5ACB">
      <w:pPr>
        <w:rPr>
          <w:sz w:val="24"/>
          <w:szCs w:val="24"/>
        </w:rPr>
      </w:pPr>
      <w:r w:rsidRPr="00CC5ACB">
        <w:rPr>
          <w:sz w:val="24"/>
          <w:szCs w:val="24"/>
        </w:rPr>
        <w:t>These loan modifications or assignments will avoid the costs for title insurance and filing fees for the Interim or Third Party Loan, which are significant in some jurisdictions.  Thus, this clarification may represent a significant costs savings to the Borrower.</w:t>
      </w:r>
    </w:p>
    <w:p w:rsidR="00CC5ACB" w:rsidRPr="00CC5ACB" w:rsidRDefault="00CC5ACB" w:rsidP="00CC5ACB">
      <w:pPr>
        <w:rPr>
          <w:sz w:val="24"/>
          <w:szCs w:val="24"/>
        </w:rPr>
      </w:pPr>
    </w:p>
    <w:p w:rsidR="00CC5ACB" w:rsidRPr="00CC5ACB" w:rsidRDefault="00CC5ACB" w:rsidP="00CC5ACB">
      <w:pPr>
        <w:rPr>
          <w:b/>
          <w:sz w:val="24"/>
          <w:szCs w:val="24"/>
          <w:u w:val="single"/>
        </w:rPr>
      </w:pPr>
      <w:r w:rsidRPr="00CC5ACB">
        <w:rPr>
          <w:b/>
          <w:sz w:val="24"/>
          <w:szCs w:val="24"/>
          <w:u w:val="single"/>
        </w:rPr>
        <w:t>Use of Interim Lender or Escrow Account</w:t>
      </w:r>
    </w:p>
    <w:p w:rsidR="00CC5ACB" w:rsidRPr="00CC5ACB" w:rsidRDefault="00CC5ACB" w:rsidP="00CC5ACB">
      <w:pPr>
        <w:rPr>
          <w:b/>
          <w:sz w:val="24"/>
          <w:szCs w:val="24"/>
          <w:u w:val="single"/>
        </w:rPr>
      </w:pPr>
    </w:p>
    <w:p w:rsidR="00CC5ACB" w:rsidRPr="00CC5ACB" w:rsidRDefault="00CC5ACB" w:rsidP="00CC5ACB">
      <w:pPr>
        <w:rPr>
          <w:sz w:val="24"/>
          <w:szCs w:val="24"/>
        </w:rPr>
      </w:pPr>
      <w:r w:rsidRPr="00CC5ACB">
        <w:rPr>
          <w:sz w:val="24"/>
          <w:szCs w:val="24"/>
        </w:rPr>
        <w:t xml:space="preserve">The purpose of this Policy Notice is also to clarify under what circumstances SBA requires that an Interim Lender be used for the Temporary Debt Refinancing Program and when an escrow account is permitted instead.  In summary, if the debt being refinanced is Same Institution Debt (as defined in 13 CFR 120.882(g)(15)), no Interim Lender may be used but an escrow account is required. If the debt being refinanced is other institution debt, then an Interim Lender is required and no escrow account may be used. </w:t>
      </w:r>
    </w:p>
    <w:p w:rsidR="00CC5ACB" w:rsidRPr="00CC5ACB" w:rsidRDefault="00CC5ACB" w:rsidP="00CC5ACB">
      <w:pPr>
        <w:rPr>
          <w:sz w:val="24"/>
          <w:szCs w:val="24"/>
        </w:rPr>
      </w:pPr>
    </w:p>
    <w:p w:rsidR="00CC5ACB" w:rsidRPr="00CC5ACB" w:rsidRDefault="00CC5ACB" w:rsidP="00CC5ACB">
      <w:pPr>
        <w:rPr>
          <w:sz w:val="24"/>
          <w:szCs w:val="24"/>
        </w:rPr>
      </w:pPr>
      <w:r w:rsidRPr="00CC5ACB">
        <w:rPr>
          <w:sz w:val="24"/>
          <w:szCs w:val="24"/>
        </w:rPr>
        <w:t>More specifically, if the debt being refinanced is Same Institution Debt:</w:t>
      </w:r>
    </w:p>
    <w:p w:rsidR="00CC5ACB" w:rsidRPr="00CC5ACB" w:rsidRDefault="00CC5ACB" w:rsidP="00CC5ACB">
      <w:pPr>
        <w:numPr>
          <w:ilvl w:val="0"/>
          <w:numId w:val="32"/>
        </w:numPr>
        <w:rPr>
          <w:sz w:val="24"/>
          <w:szCs w:val="24"/>
        </w:rPr>
      </w:pPr>
      <w:r w:rsidRPr="00CC5ACB">
        <w:rPr>
          <w:sz w:val="24"/>
          <w:szCs w:val="24"/>
        </w:rPr>
        <w:t xml:space="preserve">The Third Party Lender (who, in this case, is also the Lender of the debt being refinanced) must execute SBA Form 2416, Lender Certification for Refinanced Loan. </w:t>
      </w:r>
    </w:p>
    <w:p w:rsidR="00CC5ACB" w:rsidRPr="00CC5ACB" w:rsidRDefault="00CC5ACB" w:rsidP="00CC5ACB">
      <w:pPr>
        <w:numPr>
          <w:ilvl w:val="0"/>
          <w:numId w:val="32"/>
        </w:numPr>
        <w:rPr>
          <w:sz w:val="24"/>
          <w:szCs w:val="24"/>
        </w:rPr>
      </w:pPr>
      <w:r w:rsidRPr="00CC5ACB">
        <w:rPr>
          <w:sz w:val="24"/>
          <w:szCs w:val="24"/>
        </w:rPr>
        <w:t>The CDC must create an escrow account at the time of closing of the 504 loan for the purpose of holding the Borrower’s cash contribution, if any, and the net debenture proceeds.  The following requirements apply to the escrow account (“the account”):</w:t>
      </w:r>
    </w:p>
    <w:p w:rsidR="00CC5ACB" w:rsidRPr="00CC5ACB" w:rsidRDefault="00CC5ACB" w:rsidP="00CC5ACB">
      <w:pPr>
        <w:numPr>
          <w:ilvl w:val="1"/>
          <w:numId w:val="32"/>
        </w:numPr>
        <w:rPr>
          <w:sz w:val="24"/>
          <w:szCs w:val="24"/>
        </w:rPr>
      </w:pPr>
      <w:r w:rsidRPr="00CC5ACB">
        <w:rPr>
          <w:sz w:val="24"/>
          <w:szCs w:val="24"/>
        </w:rPr>
        <w:t xml:space="preserve">The account will be established in accordance with an Escrow Agreement which must be executed by the Borrower, the Third Party Lender, the Escrow Agent and the CDC.  The account may be held by the CDC attorney, Title Company or other party approved by SBA District Counsel.  </w:t>
      </w:r>
    </w:p>
    <w:p w:rsidR="00CC5ACB" w:rsidRPr="00CC5ACB" w:rsidRDefault="00CC5ACB" w:rsidP="00CC5ACB">
      <w:pPr>
        <w:numPr>
          <w:ilvl w:val="1"/>
          <w:numId w:val="32"/>
        </w:numPr>
        <w:rPr>
          <w:sz w:val="24"/>
          <w:szCs w:val="24"/>
        </w:rPr>
      </w:pPr>
      <w:r w:rsidRPr="00CC5ACB">
        <w:rPr>
          <w:sz w:val="24"/>
          <w:szCs w:val="24"/>
        </w:rPr>
        <w:t>The Borrower’s cash contribution, if any, must be deposited into the account at the time of closing of the 504 loan.</w:t>
      </w:r>
    </w:p>
    <w:p w:rsidR="00CC5ACB" w:rsidRPr="00CC5ACB" w:rsidRDefault="00CC5ACB" w:rsidP="00CC5ACB">
      <w:pPr>
        <w:numPr>
          <w:ilvl w:val="1"/>
          <w:numId w:val="32"/>
        </w:numPr>
        <w:rPr>
          <w:sz w:val="24"/>
          <w:szCs w:val="24"/>
        </w:rPr>
      </w:pPr>
      <w:r w:rsidRPr="00CC5ACB">
        <w:rPr>
          <w:sz w:val="24"/>
          <w:szCs w:val="24"/>
        </w:rPr>
        <w:t>A copy of the Escrow Agreement must be provided to the District Counsel with evidence of funding by Borrower’s cash contribution, if any, at the time of closing of the 504 loan.</w:t>
      </w:r>
    </w:p>
    <w:p w:rsidR="00CC5ACB" w:rsidRPr="00CC5ACB" w:rsidRDefault="00CC5ACB" w:rsidP="00CC5ACB">
      <w:pPr>
        <w:numPr>
          <w:ilvl w:val="1"/>
          <w:numId w:val="32"/>
        </w:numPr>
        <w:rPr>
          <w:sz w:val="24"/>
          <w:szCs w:val="24"/>
        </w:rPr>
      </w:pPr>
      <w:r w:rsidRPr="00CC5ACB">
        <w:rPr>
          <w:sz w:val="24"/>
          <w:szCs w:val="24"/>
        </w:rPr>
        <w:t xml:space="preserve">The net debenture proceeds must be wired to the account, and all funds may be released only upon written approval by the CDC and SBA, provided that CDC/SBA have the required lien positions on the collateral as set forth in the Authorization and Debenture Guaranty.    </w:t>
      </w:r>
    </w:p>
    <w:p w:rsidR="00CC5ACB" w:rsidRPr="00CC5ACB" w:rsidRDefault="00CC5ACB" w:rsidP="00CC5ACB">
      <w:pPr>
        <w:numPr>
          <w:ilvl w:val="1"/>
          <w:numId w:val="32"/>
        </w:numPr>
        <w:rPr>
          <w:sz w:val="24"/>
          <w:szCs w:val="24"/>
        </w:rPr>
      </w:pPr>
      <w:r w:rsidRPr="00CC5ACB">
        <w:rPr>
          <w:sz w:val="24"/>
          <w:szCs w:val="24"/>
        </w:rPr>
        <w:t>The debt to be refinanced will be satisfied upon payment of the escrowed funds to the Third Party Lender.</w:t>
      </w:r>
    </w:p>
    <w:p w:rsidR="00CC5ACB" w:rsidRPr="00CC5ACB" w:rsidRDefault="00CC5ACB" w:rsidP="00CC5ACB">
      <w:pPr>
        <w:ind w:left="1490"/>
        <w:rPr>
          <w:sz w:val="24"/>
          <w:szCs w:val="24"/>
        </w:rPr>
      </w:pPr>
    </w:p>
    <w:p w:rsidR="00CC5ACB" w:rsidRPr="00CC5ACB" w:rsidRDefault="00CC5ACB" w:rsidP="00CC5ACB">
      <w:pPr>
        <w:rPr>
          <w:sz w:val="24"/>
          <w:szCs w:val="24"/>
        </w:rPr>
      </w:pPr>
      <w:r w:rsidRPr="00CC5ACB">
        <w:rPr>
          <w:sz w:val="24"/>
          <w:szCs w:val="24"/>
        </w:rPr>
        <w:t>If the debt being refinanced is other institution debt, then the Interim Lender must execute SBA Form 2288TR, Interim Lender Certification for Temporary Refinancing Program, similar to what is required in all 504 closings.  SBA Form 2416 will not be required.  No escrow account will be permitted when an Interim Lender is used.</w:t>
      </w:r>
    </w:p>
    <w:p w:rsidR="00CC5ACB" w:rsidRPr="00CC5ACB" w:rsidRDefault="00CC5ACB" w:rsidP="00CC5ACB">
      <w:pPr>
        <w:rPr>
          <w:sz w:val="24"/>
          <w:szCs w:val="24"/>
        </w:rPr>
      </w:pPr>
    </w:p>
    <w:p w:rsidR="00CC5ACB" w:rsidRPr="00CC5ACB" w:rsidRDefault="00CC5ACB" w:rsidP="00CC5ACB">
      <w:pPr>
        <w:rPr>
          <w:b/>
          <w:sz w:val="24"/>
          <w:szCs w:val="24"/>
          <w:u w:val="single"/>
        </w:rPr>
      </w:pPr>
      <w:r w:rsidRPr="00CC5ACB">
        <w:rPr>
          <w:b/>
          <w:sz w:val="24"/>
          <w:szCs w:val="24"/>
          <w:u w:val="single"/>
        </w:rPr>
        <w:t>Requirements Regarding No Shift of Loss Certification</w:t>
      </w:r>
    </w:p>
    <w:p w:rsidR="00CC5ACB" w:rsidRPr="00CC5ACB" w:rsidRDefault="00CC5ACB" w:rsidP="00CC5ACB">
      <w:pPr>
        <w:rPr>
          <w:sz w:val="24"/>
          <w:szCs w:val="24"/>
        </w:rPr>
      </w:pPr>
    </w:p>
    <w:p w:rsidR="00CC5ACB" w:rsidRPr="00CC5ACB" w:rsidRDefault="00CC5ACB" w:rsidP="00CC5ACB">
      <w:pPr>
        <w:rPr>
          <w:sz w:val="24"/>
          <w:szCs w:val="24"/>
        </w:rPr>
      </w:pPr>
      <w:r w:rsidRPr="00CC5ACB">
        <w:rPr>
          <w:sz w:val="24"/>
          <w:szCs w:val="24"/>
        </w:rPr>
        <w:t>The purpose of this Policy Notice is also to modify ¶ (8) of Policy Notice 5000-1197 with respect to the certification that the Third Party Lender is required to make for refinancing involving Same Institution Debt.  As a result of this modification, the Third Party Lender’s certification to the CDC and SBA must state that the Third Party Lender is not in a position to sustain a loss on the Refinancing Project amount causing a shift to SBA of all or part of a potential loss from the existing debt.  This certification must be made as instructed in SBA Form 1244D and included in the Third Party Lender’s commitment letter (Exhibit 19 of SBA Form 1244).  This change in the certification makes this certification similar to the certification that is made for refinancing in the 7(a) loan program.</w:t>
      </w:r>
    </w:p>
    <w:p w:rsidR="00CC5ACB" w:rsidRPr="00CC5ACB" w:rsidRDefault="00CC5ACB" w:rsidP="00CC5ACB">
      <w:pPr>
        <w:rPr>
          <w:sz w:val="24"/>
          <w:szCs w:val="24"/>
        </w:rPr>
      </w:pPr>
    </w:p>
    <w:p w:rsidR="00113EA8" w:rsidRDefault="00113EA8" w:rsidP="00113EA8">
      <w:pPr>
        <w:suppressAutoHyphens/>
        <w:rPr>
          <w:sz w:val="24"/>
          <w:szCs w:val="24"/>
        </w:rPr>
      </w:pPr>
      <w:r w:rsidRPr="001709A1">
        <w:rPr>
          <w:sz w:val="24"/>
          <w:szCs w:val="24"/>
        </w:rPr>
        <w:t xml:space="preserve">Questions regarding this notice should be directed to the lender relations specialist in the local SBA field office.  </w:t>
      </w:r>
      <w:r w:rsidRPr="00C671DC">
        <w:rPr>
          <w:sz w:val="24"/>
          <w:szCs w:val="24"/>
        </w:rPr>
        <w:t>The local SBA field office may be found at</w:t>
      </w:r>
      <w:r>
        <w:rPr>
          <w:sz w:val="24"/>
          <w:szCs w:val="24"/>
        </w:rPr>
        <w:t xml:space="preserve"> </w:t>
      </w:r>
      <w:hyperlink r:id="rId9" w:history="1">
        <w:r w:rsidRPr="00960AD1">
          <w:rPr>
            <w:rStyle w:val="Hyperlink"/>
            <w:sz w:val="24"/>
            <w:szCs w:val="24"/>
          </w:rPr>
          <w:t>www.sba.gov/about-offices-list/2</w:t>
        </w:r>
      </w:hyperlink>
      <w:r>
        <w:rPr>
          <w:sz w:val="24"/>
          <w:szCs w:val="24"/>
        </w:rPr>
        <w:t>.</w:t>
      </w:r>
    </w:p>
    <w:p w:rsidR="00113EA8" w:rsidRDefault="00113EA8" w:rsidP="00113EA8">
      <w:pPr>
        <w:tabs>
          <w:tab w:val="left" w:pos="-360"/>
          <w:tab w:val="left" w:pos="720"/>
        </w:tabs>
        <w:ind w:left="-360"/>
        <w:rPr>
          <w:sz w:val="24"/>
          <w:szCs w:val="24"/>
        </w:rPr>
      </w:pPr>
    </w:p>
    <w:p w:rsidR="00CC5ACB" w:rsidRDefault="00CC5ACB" w:rsidP="00CC5ACB">
      <w:pPr>
        <w:rPr>
          <w:sz w:val="24"/>
          <w:szCs w:val="24"/>
        </w:rPr>
      </w:pPr>
    </w:p>
    <w:p w:rsidR="00113EA8" w:rsidRPr="00CC5ACB" w:rsidRDefault="00113EA8" w:rsidP="00CC5ACB">
      <w:pPr>
        <w:rPr>
          <w:sz w:val="24"/>
          <w:szCs w:val="24"/>
        </w:rPr>
      </w:pPr>
    </w:p>
    <w:p w:rsidR="00CC5ACB" w:rsidRPr="00CC5ACB" w:rsidRDefault="00CC5ACB" w:rsidP="00CC5ACB">
      <w:pPr>
        <w:rPr>
          <w:sz w:val="24"/>
          <w:szCs w:val="24"/>
        </w:rPr>
      </w:pPr>
    </w:p>
    <w:p w:rsidR="00CC5ACB" w:rsidRPr="00CC5ACB" w:rsidRDefault="00CC5ACB" w:rsidP="00CC5ACB">
      <w:pPr>
        <w:rPr>
          <w:sz w:val="24"/>
          <w:szCs w:val="24"/>
        </w:rPr>
      </w:pPr>
      <w:r w:rsidRPr="00CC5ACB">
        <w:rPr>
          <w:sz w:val="24"/>
          <w:szCs w:val="24"/>
        </w:rPr>
        <w:t>___________________________</w:t>
      </w:r>
    </w:p>
    <w:p w:rsidR="00CC5ACB" w:rsidRPr="00CC5ACB" w:rsidRDefault="00CC5ACB" w:rsidP="00CC5ACB">
      <w:pPr>
        <w:rPr>
          <w:sz w:val="24"/>
          <w:szCs w:val="24"/>
        </w:rPr>
      </w:pPr>
      <w:r w:rsidRPr="00CC5ACB">
        <w:rPr>
          <w:sz w:val="24"/>
          <w:szCs w:val="24"/>
        </w:rPr>
        <w:t>Karen G. Mills</w:t>
      </w:r>
    </w:p>
    <w:p w:rsidR="00CC5ACB" w:rsidRPr="00CC5ACB" w:rsidRDefault="00CC5ACB" w:rsidP="00CC5ACB">
      <w:pPr>
        <w:rPr>
          <w:sz w:val="24"/>
          <w:szCs w:val="24"/>
        </w:rPr>
      </w:pPr>
      <w:r w:rsidRPr="00CC5ACB">
        <w:rPr>
          <w:sz w:val="24"/>
          <w:szCs w:val="24"/>
        </w:rPr>
        <w:t>Administrator</w:t>
      </w:r>
    </w:p>
    <w:p w:rsidR="00CC5ACB" w:rsidRPr="00CC5ACB" w:rsidRDefault="00CC5ACB" w:rsidP="00930341">
      <w:pPr>
        <w:rPr>
          <w:sz w:val="24"/>
          <w:szCs w:val="24"/>
        </w:rPr>
      </w:pPr>
    </w:p>
    <w:sectPr w:rsidR="00CC5ACB" w:rsidRPr="00CC5ACB" w:rsidSect="00A30D5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31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965" w:rsidRDefault="00734965">
      <w:r>
        <w:separator/>
      </w:r>
    </w:p>
  </w:endnote>
  <w:endnote w:type="continuationSeparator" w:id="0">
    <w:p w:rsidR="00734965" w:rsidRDefault="007349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007" w:usb1="00000000" w:usb2="00000000" w:usb3="00000000" w:csb0="0000009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965" w:rsidRDefault="00734965">
    <w:pPr>
      <w:pBdr>
        <w:top w:val="single" w:sz="6" w:space="1" w:color="auto"/>
      </w:pBdr>
      <w:tabs>
        <w:tab w:val="right" w:pos="8370"/>
        <w:tab w:val="right" w:pos="9270"/>
      </w:tabs>
      <w:spacing w:before="120"/>
      <w:rPr>
        <w:rFonts w:ascii="Arial" w:hAnsi="Arial"/>
        <w:b/>
      </w:rPr>
    </w:pPr>
    <w:r>
      <w:rPr>
        <w:rFonts w:ascii="Arial" w:hAnsi="Arial"/>
        <w:b/>
      </w:rPr>
      <w:t xml:space="preserve">PAGE </w:t>
    </w:r>
    <w:r w:rsidR="008A5EF4">
      <w:rPr>
        <w:rFonts w:ascii="Arial" w:hAnsi="Arial"/>
        <w:b/>
      </w:rPr>
      <w:fldChar w:fldCharType="begin"/>
    </w:r>
    <w:r>
      <w:rPr>
        <w:rFonts w:ascii="Arial" w:hAnsi="Arial"/>
        <w:b/>
      </w:rPr>
      <w:instrText xml:space="preserve"> PAGE </w:instrText>
    </w:r>
    <w:r w:rsidR="008A5EF4">
      <w:rPr>
        <w:rFonts w:ascii="Arial" w:hAnsi="Arial"/>
        <w:b/>
      </w:rPr>
      <w:fldChar w:fldCharType="separate"/>
    </w:r>
    <w:r w:rsidR="00D15115">
      <w:rPr>
        <w:rFonts w:ascii="Arial" w:hAnsi="Arial"/>
        <w:b/>
        <w:noProof/>
      </w:rPr>
      <w:t>2</w:t>
    </w:r>
    <w:r w:rsidR="008A5EF4">
      <w:rPr>
        <w:rFonts w:ascii="Arial" w:hAnsi="Arial"/>
        <w:b/>
      </w:rPr>
      <w:fldChar w:fldCharType="end"/>
    </w:r>
    <w:r>
      <w:rPr>
        <w:rFonts w:ascii="Arial" w:hAnsi="Arial"/>
        <w:b/>
      </w:rPr>
      <w:t xml:space="preserve"> of </w:t>
    </w:r>
    <w:fldSimple w:instr=" SECTIONPAGES  \* MERGEFORMAT ">
      <w:r w:rsidR="00D15115" w:rsidRPr="00D15115">
        <w:rPr>
          <w:rFonts w:ascii="Arial" w:hAnsi="Arial"/>
          <w:b/>
          <w:noProof/>
        </w:rPr>
        <w:t>3</w:t>
      </w:r>
    </w:fldSimple>
    <w:r>
      <w:rPr>
        <w:rFonts w:ascii="Arial" w:hAnsi="Arial"/>
        <w:b/>
      </w:rPr>
      <w:tab/>
      <w:t xml:space="preserve">EXPIRES: </w:t>
    </w:r>
    <w:r>
      <w:rPr>
        <w:rFonts w:ascii="Arial" w:hAnsi="Arial"/>
        <w:b/>
      </w:rPr>
      <w:tab/>
    </w:r>
  </w:p>
  <w:p w:rsidR="00734965" w:rsidRDefault="00734965">
    <w:pPr>
      <w:pBdr>
        <w:top w:val="single" w:sz="6" w:space="1" w:color="auto"/>
      </w:pBdr>
      <w:tabs>
        <w:tab w:val="right" w:pos="8370"/>
        <w:tab w:val="right" w:pos="9270"/>
      </w:tabs>
      <w:spacing w:before="120"/>
      <w:rPr>
        <w:rFonts w:ascii="Arial" w:hAnsi="Arial"/>
      </w:rPr>
    </w:pPr>
    <w:r>
      <w:rPr>
        <w:rFonts w:ascii="Arial" w:hAnsi="Arial"/>
      </w:rPr>
      <w:t>SBA Form 1353.1 (12-93) MS Word Edition; previous editions obsolete</w:t>
    </w:r>
  </w:p>
  <w:p w:rsidR="00734965" w:rsidRDefault="00734965">
    <w:pPr>
      <w:pStyle w:val="Footer"/>
      <w:pBdr>
        <w:top w:val="single" w:sz="6" w:space="1" w:color="auto"/>
      </w:pBdr>
      <w:tabs>
        <w:tab w:val="clear" w:pos="4320"/>
        <w:tab w:val="clear" w:pos="8640"/>
        <w:tab w:val="right" w:pos="9180"/>
      </w:tabs>
      <w:rPr>
        <w:rFonts w:ascii="Arial" w:hAnsi="Arial"/>
      </w:rPr>
    </w:pPr>
    <w:r>
      <w:rPr>
        <w:rFonts w:ascii="Arial" w:hAnsi="Arial"/>
      </w:rPr>
      <w:t>Must be accompanied by SBA Form 58</w:t>
    </w:r>
  </w:p>
  <w:p w:rsidR="00734965" w:rsidRDefault="00734965">
    <w:pPr>
      <w:pStyle w:val="Footer"/>
      <w:tabs>
        <w:tab w:val="clear" w:pos="4320"/>
        <w:tab w:val="clear" w:pos="8640"/>
        <w:tab w:val="center" w:pos="5400"/>
      </w:tabs>
      <w:jc w:val="center"/>
    </w:pPr>
    <w:r>
      <w:rPr>
        <w:position w:val="8"/>
        <w:sz w:val="16"/>
        <w:vertAlign w:val="superscript"/>
      </w:rPr>
      <w:t>Federal Recycling Program</w:t>
    </w:r>
    <w:r>
      <w:rPr>
        <w:position w:val="6"/>
        <w:sz w:val="16"/>
        <w:vertAlign w:val="superscript"/>
      </w:rPr>
      <w:t xml:space="preserve"> </w:t>
    </w:r>
    <w:r w:rsidR="008A5EF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5pt;height:17.5pt">
          <v:imagedata r:id="rId1" o:title=""/>
        </v:shape>
      </w:pict>
    </w:r>
    <w:r>
      <w:rPr>
        <w:position w:val="6"/>
        <w:sz w:val="16"/>
        <w:vertAlign w:val="superscript"/>
      </w:rPr>
      <w:t xml:space="preserve"> </w:t>
    </w:r>
    <w:r>
      <w:rPr>
        <w:position w:val="8"/>
        <w:sz w:val="16"/>
        <w:vertAlign w:val="superscript"/>
      </w:rPr>
      <w:t>Printed on Recycled Paper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965" w:rsidRDefault="00734965">
    <w:pPr>
      <w:pBdr>
        <w:top w:val="single" w:sz="6" w:space="1" w:color="auto"/>
      </w:pBdr>
      <w:tabs>
        <w:tab w:val="left" w:pos="1080"/>
        <w:tab w:val="right" w:pos="9270"/>
      </w:tabs>
      <w:spacing w:before="120"/>
      <w:rPr>
        <w:rFonts w:ascii="Arial" w:hAnsi="Arial"/>
        <w:b/>
      </w:rPr>
    </w:pPr>
    <w:r>
      <w:rPr>
        <w:rFonts w:ascii="Arial" w:hAnsi="Arial"/>
        <w:b/>
      </w:rPr>
      <w:t xml:space="preserve">EXPIRES: </w:t>
    </w:r>
    <w:r>
      <w:rPr>
        <w:rFonts w:ascii="Arial" w:hAnsi="Arial"/>
        <w:b/>
      </w:rPr>
      <w:tab/>
    </w:r>
    <w:r w:rsidR="00D15115">
      <w:rPr>
        <w:rFonts w:ascii="Arial" w:hAnsi="Arial"/>
        <w:b/>
      </w:rPr>
      <w:t>4/1/2012</w:t>
    </w:r>
    <w:r>
      <w:rPr>
        <w:rFonts w:ascii="Arial" w:hAnsi="Arial"/>
        <w:b/>
      </w:rPr>
      <w:tab/>
      <w:t xml:space="preserve">PAGE </w:t>
    </w:r>
    <w:r w:rsidR="008A5EF4">
      <w:rPr>
        <w:rFonts w:ascii="Arial" w:hAnsi="Arial"/>
        <w:b/>
      </w:rPr>
      <w:fldChar w:fldCharType="begin"/>
    </w:r>
    <w:r>
      <w:rPr>
        <w:rFonts w:ascii="Arial" w:hAnsi="Arial"/>
        <w:b/>
      </w:rPr>
      <w:instrText xml:space="preserve"> PAGE </w:instrText>
    </w:r>
    <w:r w:rsidR="008A5EF4">
      <w:rPr>
        <w:rFonts w:ascii="Arial" w:hAnsi="Arial"/>
        <w:b/>
      </w:rPr>
      <w:fldChar w:fldCharType="separate"/>
    </w:r>
    <w:r w:rsidR="00D15115">
      <w:rPr>
        <w:rFonts w:ascii="Arial" w:hAnsi="Arial"/>
        <w:b/>
        <w:noProof/>
      </w:rPr>
      <w:t>1</w:t>
    </w:r>
    <w:r w:rsidR="008A5EF4">
      <w:rPr>
        <w:rFonts w:ascii="Arial" w:hAnsi="Arial"/>
        <w:b/>
      </w:rPr>
      <w:fldChar w:fldCharType="end"/>
    </w:r>
    <w:r>
      <w:rPr>
        <w:rFonts w:ascii="Arial" w:hAnsi="Arial"/>
        <w:b/>
      </w:rPr>
      <w:t xml:space="preserve"> of </w:t>
    </w:r>
    <w:fldSimple w:instr=" SECTIONPAGES  \* MERGEFORMAT ">
      <w:r w:rsidR="00D15115" w:rsidRPr="00D15115">
        <w:rPr>
          <w:rFonts w:ascii="Arial" w:hAnsi="Arial"/>
          <w:b/>
          <w:noProof/>
        </w:rPr>
        <w:t>2</w:t>
      </w:r>
    </w:fldSimple>
  </w:p>
  <w:p w:rsidR="00734965" w:rsidRDefault="00734965">
    <w:pPr>
      <w:pStyle w:val="Footer"/>
      <w:pBdr>
        <w:top w:val="single" w:sz="6" w:space="1" w:color="auto"/>
      </w:pBdr>
      <w:tabs>
        <w:tab w:val="clear" w:pos="4320"/>
        <w:tab w:val="clear" w:pos="8640"/>
        <w:tab w:val="right" w:pos="9180"/>
      </w:tabs>
      <w:spacing w:before="120"/>
      <w:rPr>
        <w:rFonts w:ascii="Arial" w:hAnsi="Arial"/>
      </w:rPr>
    </w:pPr>
    <w:r>
      <w:rPr>
        <w:rFonts w:ascii="Arial" w:hAnsi="Arial"/>
      </w:rPr>
      <w:t>SBA Form 1353.1 (12-93) MS Word Edition; previous editions obsolete</w:t>
    </w:r>
  </w:p>
  <w:p w:rsidR="00734965" w:rsidRDefault="00734965">
    <w:pPr>
      <w:pStyle w:val="Footer"/>
      <w:pBdr>
        <w:top w:val="single" w:sz="6" w:space="1" w:color="auto"/>
      </w:pBdr>
      <w:tabs>
        <w:tab w:val="clear" w:pos="4320"/>
        <w:tab w:val="clear" w:pos="8640"/>
        <w:tab w:val="right" w:pos="9180"/>
      </w:tabs>
      <w:rPr>
        <w:rFonts w:ascii="Arial" w:hAnsi="Arial"/>
      </w:rPr>
    </w:pPr>
    <w:r>
      <w:rPr>
        <w:rFonts w:ascii="Arial" w:hAnsi="Arial"/>
      </w:rPr>
      <w:t>Must be accompanied by SBA Form 58</w:t>
    </w:r>
  </w:p>
  <w:p w:rsidR="00734965" w:rsidRDefault="00734965">
    <w:pPr>
      <w:pStyle w:val="Footer"/>
      <w:tabs>
        <w:tab w:val="clear" w:pos="4320"/>
        <w:tab w:val="clear" w:pos="8640"/>
        <w:tab w:val="center" w:pos="5400"/>
      </w:tabs>
      <w:jc w:val="center"/>
    </w:pPr>
    <w:r>
      <w:rPr>
        <w:position w:val="8"/>
        <w:sz w:val="16"/>
        <w:vertAlign w:val="superscript"/>
      </w:rPr>
      <w:t>Federal Recycling Program</w:t>
    </w:r>
    <w:r>
      <w:rPr>
        <w:position w:val="6"/>
        <w:sz w:val="16"/>
        <w:vertAlign w:val="superscript"/>
      </w:rPr>
      <w:t xml:space="preserve"> </w:t>
    </w:r>
    <w:r w:rsidR="008A5EF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5pt;height:17.5pt">
          <v:imagedata r:id="rId1" o:title=""/>
        </v:shape>
      </w:pict>
    </w:r>
    <w:r>
      <w:rPr>
        <w:position w:val="6"/>
        <w:sz w:val="16"/>
        <w:vertAlign w:val="superscript"/>
      </w:rPr>
      <w:t xml:space="preserve"> </w:t>
    </w:r>
    <w:r>
      <w:rPr>
        <w:position w:val="8"/>
        <w:sz w:val="16"/>
        <w:vertAlign w:val="superscript"/>
      </w:rPr>
      <w:t>Printed on Recycled Paper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115" w:rsidRDefault="00D151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965" w:rsidRDefault="00734965">
      <w:r>
        <w:separator/>
      </w:r>
    </w:p>
  </w:footnote>
  <w:footnote w:type="continuationSeparator" w:id="0">
    <w:p w:rsidR="00734965" w:rsidRDefault="007349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115" w:rsidRDefault="00D151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115" w:rsidRDefault="00D1511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115" w:rsidRDefault="00D151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701D2"/>
    <w:multiLevelType w:val="hybridMultilevel"/>
    <w:tmpl w:val="738C4AC8"/>
    <w:lvl w:ilvl="0" w:tplc="3C60988A">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0700315E"/>
    <w:multiLevelType w:val="hybridMultilevel"/>
    <w:tmpl w:val="5D144982"/>
    <w:lvl w:ilvl="0" w:tplc="26F60CDA">
      <w:start w:val="1"/>
      <w:numFmt w:val="lowerLetter"/>
      <w:lvlText w:val="(%1)"/>
      <w:lvlJc w:val="left"/>
      <w:pPr>
        <w:ind w:left="1815" w:hanging="375"/>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nsid w:val="0AC02677"/>
    <w:multiLevelType w:val="hybridMultilevel"/>
    <w:tmpl w:val="79F4E970"/>
    <w:lvl w:ilvl="0" w:tplc="55D072F6">
      <w:start w:val="1"/>
      <w:numFmt w:val="bullet"/>
      <w:lvlText w:val=""/>
      <w:lvlJc w:val="left"/>
      <w:pPr>
        <w:ind w:left="2160" w:hanging="360"/>
      </w:pPr>
      <w:rPr>
        <w:rFonts w:ascii="Symbol" w:hAnsi="Symbol" w:hint="default"/>
        <w:b w:val="0"/>
      </w:rPr>
    </w:lvl>
    <w:lvl w:ilvl="1" w:tplc="26F60CDA">
      <w:start w:val="1"/>
      <w:numFmt w:val="lowerLetter"/>
      <w:lvlText w:val="(%2)"/>
      <w:lvlJc w:val="left"/>
      <w:pPr>
        <w:ind w:left="2895" w:hanging="375"/>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E840946"/>
    <w:multiLevelType w:val="hybridMultilevel"/>
    <w:tmpl w:val="F2344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nsid w:val="0EB86CE2"/>
    <w:multiLevelType w:val="hybridMultilevel"/>
    <w:tmpl w:val="F014B0E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12C032A"/>
    <w:multiLevelType w:val="hybridMultilevel"/>
    <w:tmpl w:val="FEBC1104"/>
    <w:lvl w:ilvl="0" w:tplc="09544386">
      <w:start w:val="1"/>
      <w:numFmt w:val="lowerLetter"/>
      <w:lvlText w:val="(%1)"/>
      <w:lvlJc w:val="left"/>
      <w:pPr>
        <w:ind w:left="1815" w:hanging="3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22969AB"/>
    <w:multiLevelType w:val="hybridMultilevel"/>
    <w:tmpl w:val="4852E11E"/>
    <w:lvl w:ilvl="0" w:tplc="B798D4A4">
      <w:start w:val="4"/>
      <w:numFmt w:val="lowerLetter"/>
      <w:lvlText w:val="%1)"/>
      <w:lvlJc w:val="left"/>
      <w:pPr>
        <w:ind w:left="25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206913E4"/>
    <w:multiLevelType w:val="hybridMultilevel"/>
    <w:tmpl w:val="E19808E8"/>
    <w:lvl w:ilvl="0" w:tplc="B7B65C3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0703240"/>
    <w:multiLevelType w:val="hybridMultilevel"/>
    <w:tmpl w:val="D74C1DE4"/>
    <w:lvl w:ilvl="0" w:tplc="3F20421A">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2079DE"/>
    <w:multiLevelType w:val="hybridMultilevel"/>
    <w:tmpl w:val="22043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40AD2"/>
    <w:multiLevelType w:val="hybridMultilevel"/>
    <w:tmpl w:val="6C928466"/>
    <w:lvl w:ilvl="0" w:tplc="B9767254">
      <w:start w:val="1"/>
      <w:numFmt w:val="lowerRoman"/>
      <w:lvlText w:val="(%1)"/>
      <w:lvlJc w:val="left"/>
      <w:pPr>
        <w:ind w:left="3645" w:hanging="720"/>
      </w:pPr>
      <w:rPr>
        <w:rFonts w:hint="default"/>
      </w:rPr>
    </w:lvl>
    <w:lvl w:ilvl="1" w:tplc="04090019" w:tentative="1">
      <w:start w:val="1"/>
      <w:numFmt w:val="lowerLetter"/>
      <w:lvlText w:val="%2."/>
      <w:lvlJc w:val="left"/>
      <w:pPr>
        <w:ind w:left="4005" w:hanging="360"/>
      </w:pPr>
    </w:lvl>
    <w:lvl w:ilvl="2" w:tplc="0409001B" w:tentative="1">
      <w:start w:val="1"/>
      <w:numFmt w:val="lowerRoman"/>
      <w:lvlText w:val="%3."/>
      <w:lvlJc w:val="right"/>
      <w:pPr>
        <w:ind w:left="4725" w:hanging="180"/>
      </w:pPr>
    </w:lvl>
    <w:lvl w:ilvl="3" w:tplc="0409000F" w:tentative="1">
      <w:start w:val="1"/>
      <w:numFmt w:val="decimal"/>
      <w:lvlText w:val="%4."/>
      <w:lvlJc w:val="left"/>
      <w:pPr>
        <w:ind w:left="5445" w:hanging="360"/>
      </w:pPr>
    </w:lvl>
    <w:lvl w:ilvl="4" w:tplc="04090019" w:tentative="1">
      <w:start w:val="1"/>
      <w:numFmt w:val="lowerLetter"/>
      <w:lvlText w:val="%5."/>
      <w:lvlJc w:val="left"/>
      <w:pPr>
        <w:ind w:left="6165" w:hanging="360"/>
      </w:pPr>
    </w:lvl>
    <w:lvl w:ilvl="5" w:tplc="0409001B" w:tentative="1">
      <w:start w:val="1"/>
      <w:numFmt w:val="lowerRoman"/>
      <w:lvlText w:val="%6."/>
      <w:lvlJc w:val="right"/>
      <w:pPr>
        <w:ind w:left="6885" w:hanging="180"/>
      </w:pPr>
    </w:lvl>
    <w:lvl w:ilvl="6" w:tplc="0409000F" w:tentative="1">
      <w:start w:val="1"/>
      <w:numFmt w:val="decimal"/>
      <w:lvlText w:val="%7."/>
      <w:lvlJc w:val="left"/>
      <w:pPr>
        <w:ind w:left="7605" w:hanging="360"/>
      </w:pPr>
    </w:lvl>
    <w:lvl w:ilvl="7" w:tplc="04090019" w:tentative="1">
      <w:start w:val="1"/>
      <w:numFmt w:val="lowerLetter"/>
      <w:lvlText w:val="%8."/>
      <w:lvlJc w:val="left"/>
      <w:pPr>
        <w:ind w:left="8325" w:hanging="360"/>
      </w:pPr>
    </w:lvl>
    <w:lvl w:ilvl="8" w:tplc="0409001B" w:tentative="1">
      <w:start w:val="1"/>
      <w:numFmt w:val="lowerRoman"/>
      <w:lvlText w:val="%9."/>
      <w:lvlJc w:val="right"/>
      <w:pPr>
        <w:ind w:left="9045" w:hanging="180"/>
      </w:pPr>
    </w:lvl>
  </w:abstractNum>
  <w:abstractNum w:abstractNumId="11">
    <w:nsid w:val="2BC54FC4"/>
    <w:multiLevelType w:val="hybridMultilevel"/>
    <w:tmpl w:val="8F44CF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BCB4052"/>
    <w:multiLevelType w:val="hybridMultilevel"/>
    <w:tmpl w:val="B8C028B4"/>
    <w:lvl w:ilvl="0" w:tplc="B7B65C3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E7B5D00"/>
    <w:multiLevelType w:val="hybridMultilevel"/>
    <w:tmpl w:val="9620B118"/>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F22335A"/>
    <w:multiLevelType w:val="hybridMultilevel"/>
    <w:tmpl w:val="C00656FA"/>
    <w:lvl w:ilvl="0" w:tplc="4B2A009C">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3FD87115"/>
    <w:multiLevelType w:val="hybridMultilevel"/>
    <w:tmpl w:val="23387CDA"/>
    <w:lvl w:ilvl="0" w:tplc="6504AD1A">
      <w:start w:val="1"/>
      <w:numFmt w:val="lowerLetter"/>
      <w:lvlText w:val="(%1)"/>
      <w:lvlJc w:val="left"/>
      <w:pPr>
        <w:ind w:left="2535" w:hanging="37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43D75F72"/>
    <w:multiLevelType w:val="hybridMultilevel"/>
    <w:tmpl w:val="14960C6E"/>
    <w:lvl w:ilvl="0" w:tplc="ABA6A66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460563B5"/>
    <w:multiLevelType w:val="hybridMultilevel"/>
    <w:tmpl w:val="73BC6188"/>
    <w:lvl w:ilvl="0" w:tplc="ACF6E9DE">
      <w:start w:val="1"/>
      <w:numFmt w:val="lowerRoman"/>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nsid w:val="4EA54CD9"/>
    <w:multiLevelType w:val="hybridMultilevel"/>
    <w:tmpl w:val="CD4EBE58"/>
    <w:lvl w:ilvl="0" w:tplc="3F20421A">
      <w:start w:val="1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261238F"/>
    <w:multiLevelType w:val="hybridMultilevel"/>
    <w:tmpl w:val="162ACA80"/>
    <w:lvl w:ilvl="0" w:tplc="6246A202">
      <w:start w:val="1"/>
      <w:numFmt w:val="lowerLetter"/>
      <w:lvlText w:val="(%1)"/>
      <w:lvlJc w:val="left"/>
      <w:pPr>
        <w:ind w:left="2535" w:hanging="37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526F390E"/>
    <w:multiLevelType w:val="hybridMultilevel"/>
    <w:tmpl w:val="33AA741E"/>
    <w:lvl w:ilvl="0" w:tplc="5916326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57A87F68"/>
    <w:multiLevelType w:val="hybridMultilevel"/>
    <w:tmpl w:val="13D4EAC0"/>
    <w:lvl w:ilvl="0" w:tplc="3F20421A">
      <w:start w:val="1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9B660FF"/>
    <w:multiLevelType w:val="hybridMultilevel"/>
    <w:tmpl w:val="C6C60E7E"/>
    <w:lvl w:ilvl="0" w:tplc="3F20421A">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66636F"/>
    <w:multiLevelType w:val="hybridMultilevel"/>
    <w:tmpl w:val="AAF03318"/>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nsid w:val="64BF2E69"/>
    <w:multiLevelType w:val="hybridMultilevel"/>
    <w:tmpl w:val="6380A128"/>
    <w:lvl w:ilvl="0" w:tplc="8CDA2E30">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5873B6E"/>
    <w:multiLevelType w:val="hybridMultilevel"/>
    <w:tmpl w:val="8D00C5F4"/>
    <w:lvl w:ilvl="0" w:tplc="0A62A716">
      <w:start w:val="1"/>
      <w:numFmt w:val="lowerLetter"/>
      <w:lvlText w:val="(%1)"/>
      <w:lvlJc w:val="left"/>
      <w:pPr>
        <w:ind w:left="1815" w:hanging="3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68B1D86"/>
    <w:multiLevelType w:val="hybridMultilevel"/>
    <w:tmpl w:val="412CBD72"/>
    <w:lvl w:ilvl="0" w:tplc="B7B65C36">
      <w:start w:val="1"/>
      <w:numFmt w:val="lowerLetter"/>
      <w:lvlText w:val="(%1)"/>
      <w:lvlJc w:val="left"/>
      <w:pPr>
        <w:ind w:left="2160" w:hanging="360"/>
      </w:pPr>
      <w:rPr>
        <w:rFonts w:hint="default"/>
      </w:rPr>
    </w:lvl>
    <w:lvl w:ilvl="1" w:tplc="B7B65C36">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697457D2"/>
    <w:multiLevelType w:val="hybridMultilevel"/>
    <w:tmpl w:val="70361FC8"/>
    <w:lvl w:ilvl="0" w:tplc="172C36A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nsid w:val="6D6919E0"/>
    <w:multiLevelType w:val="hybridMultilevel"/>
    <w:tmpl w:val="2828F736"/>
    <w:lvl w:ilvl="0" w:tplc="3F20421A">
      <w:start w:val="13"/>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FC6661"/>
    <w:multiLevelType w:val="hybridMultilevel"/>
    <w:tmpl w:val="D7D47EC4"/>
    <w:lvl w:ilvl="0" w:tplc="3F20421A">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641F8D"/>
    <w:multiLevelType w:val="hybridMultilevel"/>
    <w:tmpl w:val="AB045726"/>
    <w:lvl w:ilvl="0" w:tplc="BAE44FD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7FCE6883"/>
    <w:multiLevelType w:val="hybridMultilevel"/>
    <w:tmpl w:val="5898204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3"/>
  </w:num>
  <w:num w:numId="3">
    <w:abstractNumId w:val="11"/>
  </w:num>
  <w:num w:numId="4">
    <w:abstractNumId w:val="20"/>
  </w:num>
  <w:num w:numId="5">
    <w:abstractNumId w:val="7"/>
  </w:num>
  <w:num w:numId="6">
    <w:abstractNumId w:val="30"/>
  </w:num>
  <w:num w:numId="7">
    <w:abstractNumId w:val="25"/>
  </w:num>
  <w:num w:numId="8">
    <w:abstractNumId w:val="14"/>
  </w:num>
  <w:num w:numId="9">
    <w:abstractNumId w:val="5"/>
  </w:num>
  <w:num w:numId="10">
    <w:abstractNumId w:val="26"/>
  </w:num>
  <w:num w:numId="11">
    <w:abstractNumId w:val="12"/>
  </w:num>
  <w:num w:numId="12">
    <w:abstractNumId w:val="24"/>
  </w:num>
  <w:num w:numId="13">
    <w:abstractNumId w:val="15"/>
  </w:num>
  <w:num w:numId="14">
    <w:abstractNumId w:val="17"/>
  </w:num>
  <w:num w:numId="15">
    <w:abstractNumId w:val="16"/>
  </w:num>
  <w:num w:numId="16">
    <w:abstractNumId w:val="10"/>
  </w:num>
  <w:num w:numId="17">
    <w:abstractNumId w:val="19"/>
  </w:num>
  <w:num w:numId="18">
    <w:abstractNumId w:val="4"/>
  </w:num>
  <w:num w:numId="19">
    <w:abstractNumId w:val="27"/>
  </w:num>
  <w:num w:numId="20">
    <w:abstractNumId w:val="0"/>
  </w:num>
  <w:num w:numId="21">
    <w:abstractNumId w:val="31"/>
  </w:num>
  <w:num w:numId="22">
    <w:abstractNumId w:val="28"/>
  </w:num>
  <w:num w:numId="23">
    <w:abstractNumId w:val="1"/>
  </w:num>
  <w:num w:numId="24">
    <w:abstractNumId w:val="18"/>
  </w:num>
  <w:num w:numId="25">
    <w:abstractNumId w:val="22"/>
  </w:num>
  <w:num w:numId="26">
    <w:abstractNumId w:val="21"/>
  </w:num>
  <w:num w:numId="27">
    <w:abstractNumId w:val="29"/>
  </w:num>
  <w:num w:numId="28">
    <w:abstractNumId w:val="8"/>
  </w:num>
  <w:num w:numId="29">
    <w:abstractNumId w:val="23"/>
  </w:num>
  <w:num w:numId="30">
    <w:abstractNumId w:val="6"/>
  </w:num>
  <w:num w:numId="31">
    <w:abstractNumId w:val="9"/>
  </w:num>
  <w:num w:numId="3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mirrorMargins/>
  <w:attachedTemplate r:id="rId1"/>
  <w:doNotTrackMoves/>
  <w:defaultTabStop w:val="720"/>
  <w:evenAndOddHeaders/>
  <w:displayHorizontalDrawingGridEvery w:val="0"/>
  <w:displayVerticalDrawingGridEvery w:val="0"/>
  <w:doNotUseMarginsForDrawingGridOrigin/>
  <w:noPunctuationKerning/>
  <w:characterSpacingControl w:val="doNotCompress"/>
  <w:savePreviewPicture/>
  <w:hdrShapeDefaults>
    <o:shapedefaults v:ext="edit" spidmax="15363"/>
  </w:hdrShapeDefault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2835"/>
    <w:rsid w:val="0001039D"/>
    <w:rsid w:val="000104B3"/>
    <w:rsid w:val="00031B9B"/>
    <w:rsid w:val="000974C2"/>
    <w:rsid w:val="000D7225"/>
    <w:rsid w:val="00113EA8"/>
    <w:rsid w:val="00117AF1"/>
    <w:rsid w:val="0014410B"/>
    <w:rsid w:val="00144354"/>
    <w:rsid w:val="00192961"/>
    <w:rsid w:val="00212835"/>
    <w:rsid w:val="00255F1F"/>
    <w:rsid w:val="002870C9"/>
    <w:rsid w:val="0029461A"/>
    <w:rsid w:val="002E2D65"/>
    <w:rsid w:val="003D0619"/>
    <w:rsid w:val="00405C60"/>
    <w:rsid w:val="004076F2"/>
    <w:rsid w:val="00421B9F"/>
    <w:rsid w:val="00442FCC"/>
    <w:rsid w:val="004868ED"/>
    <w:rsid w:val="004904E0"/>
    <w:rsid w:val="004F4573"/>
    <w:rsid w:val="005F74C8"/>
    <w:rsid w:val="00614254"/>
    <w:rsid w:val="0064209B"/>
    <w:rsid w:val="00661BD2"/>
    <w:rsid w:val="006C5CE1"/>
    <w:rsid w:val="006E5BE9"/>
    <w:rsid w:val="00734965"/>
    <w:rsid w:val="00776B68"/>
    <w:rsid w:val="007F1A54"/>
    <w:rsid w:val="008A5EF4"/>
    <w:rsid w:val="009116DA"/>
    <w:rsid w:val="009120D7"/>
    <w:rsid w:val="00915CD0"/>
    <w:rsid w:val="00917D0E"/>
    <w:rsid w:val="00930341"/>
    <w:rsid w:val="00A013F0"/>
    <w:rsid w:val="00A21735"/>
    <w:rsid w:val="00A30D5B"/>
    <w:rsid w:val="00A46D4B"/>
    <w:rsid w:val="00A57EA0"/>
    <w:rsid w:val="00B264B3"/>
    <w:rsid w:val="00BA6DD4"/>
    <w:rsid w:val="00BB7C95"/>
    <w:rsid w:val="00BE0782"/>
    <w:rsid w:val="00C5321A"/>
    <w:rsid w:val="00C66A61"/>
    <w:rsid w:val="00C85C4F"/>
    <w:rsid w:val="00CC5ACB"/>
    <w:rsid w:val="00D00CB9"/>
    <w:rsid w:val="00D15115"/>
    <w:rsid w:val="00D40AF7"/>
    <w:rsid w:val="00DB631B"/>
    <w:rsid w:val="00DF2005"/>
    <w:rsid w:val="00E45B32"/>
    <w:rsid w:val="00E80E46"/>
    <w:rsid w:val="00E90A31"/>
    <w:rsid w:val="00E97203"/>
    <w:rsid w:val="00EB3470"/>
    <w:rsid w:val="00EB55C0"/>
    <w:rsid w:val="00EB70FA"/>
    <w:rsid w:val="00EF36DC"/>
    <w:rsid w:val="00F34E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D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ssageHeaderFirst">
    <w:name w:val="Message Header First"/>
    <w:basedOn w:val="MessageHeader"/>
    <w:next w:val="MessageHeader"/>
    <w:rsid w:val="00A30D5B"/>
    <w:pPr>
      <w:keepLines/>
      <w:pBdr>
        <w:top w:val="none" w:sz="0" w:space="0" w:color="auto"/>
        <w:left w:val="none" w:sz="0" w:space="0" w:color="auto"/>
        <w:bottom w:val="none" w:sz="0" w:space="0" w:color="auto"/>
        <w:right w:val="none" w:sz="0" w:space="0" w:color="auto"/>
      </w:pBdr>
      <w:shd w:val="clear" w:color="auto" w:fill="auto"/>
      <w:tabs>
        <w:tab w:val="left" w:pos="1080"/>
      </w:tabs>
      <w:spacing w:before="360" w:after="120" w:line="240" w:lineRule="atLeast"/>
    </w:pPr>
    <w:rPr>
      <w:rFonts w:ascii="Garamond" w:hAnsi="Garamond"/>
      <w:caps/>
      <w:sz w:val="18"/>
    </w:rPr>
  </w:style>
  <w:style w:type="character" w:customStyle="1" w:styleId="MessageHeaderLabel">
    <w:name w:val="Message Header Label"/>
    <w:rsid w:val="00A30D5B"/>
    <w:rPr>
      <w:b/>
      <w:sz w:val="18"/>
    </w:rPr>
  </w:style>
  <w:style w:type="paragraph" w:styleId="MessageHeader">
    <w:name w:val="Message Header"/>
    <w:basedOn w:val="Normal"/>
    <w:semiHidden/>
    <w:rsid w:val="00A30D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Header">
    <w:name w:val="header"/>
    <w:basedOn w:val="Normal"/>
    <w:semiHidden/>
    <w:rsid w:val="00A30D5B"/>
    <w:pPr>
      <w:tabs>
        <w:tab w:val="center" w:pos="4320"/>
        <w:tab w:val="right" w:pos="8640"/>
      </w:tabs>
    </w:pPr>
  </w:style>
  <w:style w:type="paragraph" w:styleId="Footer">
    <w:name w:val="footer"/>
    <w:basedOn w:val="Normal"/>
    <w:semiHidden/>
    <w:rsid w:val="00A30D5B"/>
    <w:pPr>
      <w:tabs>
        <w:tab w:val="center" w:pos="4320"/>
        <w:tab w:val="right" w:pos="8640"/>
      </w:tabs>
    </w:pPr>
  </w:style>
  <w:style w:type="character" w:styleId="FootnoteReference">
    <w:name w:val="footnote reference"/>
    <w:basedOn w:val="DefaultParagraphFont"/>
    <w:semiHidden/>
    <w:rsid w:val="00A30D5B"/>
    <w:rPr>
      <w:vertAlign w:val="superscript"/>
    </w:rPr>
  </w:style>
  <w:style w:type="paragraph" w:styleId="ListParagraph">
    <w:name w:val="List Paragraph"/>
    <w:basedOn w:val="Normal"/>
    <w:uiPriority w:val="34"/>
    <w:qFormat/>
    <w:rsid w:val="005F74C8"/>
    <w:pPr>
      <w:ind w:left="720"/>
    </w:pPr>
    <w:rPr>
      <w:sz w:val="24"/>
      <w:szCs w:val="24"/>
    </w:rPr>
  </w:style>
  <w:style w:type="paragraph" w:styleId="BalloonText">
    <w:name w:val="Balloon Text"/>
    <w:basedOn w:val="Normal"/>
    <w:link w:val="BalloonTextChar"/>
    <w:uiPriority w:val="99"/>
    <w:semiHidden/>
    <w:unhideWhenUsed/>
    <w:rsid w:val="005F74C8"/>
    <w:rPr>
      <w:rFonts w:ascii="Tahoma" w:hAnsi="Tahoma" w:cs="Tahoma"/>
      <w:sz w:val="16"/>
      <w:szCs w:val="16"/>
    </w:rPr>
  </w:style>
  <w:style w:type="character" w:customStyle="1" w:styleId="BalloonTextChar">
    <w:name w:val="Balloon Text Char"/>
    <w:basedOn w:val="DefaultParagraphFont"/>
    <w:link w:val="BalloonText"/>
    <w:uiPriority w:val="99"/>
    <w:semiHidden/>
    <w:rsid w:val="005F74C8"/>
    <w:rPr>
      <w:rFonts w:ascii="Tahoma" w:hAnsi="Tahoma" w:cs="Tahoma"/>
      <w:sz w:val="16"/>
      <w:szCs w:val="16"/>
    </w:rPr>
  </w:style>
  <w:style w:type="character" w:styleId="Hyperlink">
    <w:name w:val="Hyperlink"/>
    <w:basedOn w:val="DefaultParagraphFont"/>
    <w:uiPriority w:val="99"/>
    <w:rsid w:val="00DF200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3538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ba.gov/about-offices-list/2"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x:\winapps\sba%20templates\SBA-Ltrs%20&amp;%20Faxes\%5eSBA%20Notic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^SBA Notice.dot</Template>
  <TotalTime>15</TotalTime>
  <Pages>3</Pages>
  <Words>1105</Words>
  <Characters>5778</Characters>
  <Application>Microsoft Office Word</Application>
  <DocSecurity>0</DocSecurity>
  <Lines>48</Lines>
  <Paragraphs>13</Paragraphs>
  <ScaleCrop>false</ScaleCrop>
  <HeadingPairs>
    <vt:vector size="4" baseType="variant">
      <vt:variant>
        <vt:lpstr>Title</vt:lpstr>
      </vt:variant>
      <vt:variant>
        <vt:i4>1</vt:i4>
      </vt:variant>
      <vt:variant>
        <vt:lpstr> </vt:lpstr>
      </vt:variant>
      <vt:variant>
        <vt:i4>0</vt:i4>
      </vt:variant>
    </vt:vector>
  </HeadingPairs>
  <TitlesOfParts>
    <vt:vector size="1" baseType="lpstr">
      <vt:lpstr> </vt:lpstr>
    </vt:vector>
  </TitlesOfParts>
  <Company>Small Business Administration</Company>
  <LinksUpToDate>false</LinksUpToDate>
  <CharactersWithSpaces>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Intlekofer, Walter C.</dc:creator>
  <cp:keywords/>
  <dc:description/>
  <cp:lastModifiedBy>Lawan Russell</cp:lastModifiedBy>
  <cp:revision>2</cp:revision>
  <cp:lastPrinted>2011-04-08T15:10:00Z</cp:lastPrinted>
  <dcterms:created xsi:type="dcterms:W3CDTF">2011-04-08T15:23:00Z</dcterms:created>
  <dcterms:modified xsi:type="dcterms:W3CDTF">2011-04-08T15:23:00Z</dcterms:modified>
</cp:coreProperties>
</file>