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E0" w:rsidRDefault="00861A19">
      <w:pPr>
        <w:framePr w:w="9360" w:h="2160" w:hRule="exact" w:hSpace="187" w:wrap="around" w:vAnchor="page" w:hAnchor="text" w:xAlign="center" w:y="1" w:anchorLock="1"/>
        <w:tabs>
          <w:tab w:val="center" w:pos="4860"/>
        </w:tabs>
        <w:spacing w:before="840"/>
        <w:rPr>
          <w:b/>
          <w:sz w:val="56"/>
        </w:rPr>
      </w:pPr>
      <w:r w:rsidRPr="00861A1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alt="SBA Eagle - black" style="position:absolute;margin-left:-11.7pt;margin-top:23.8pt;width:72.7pt;height:75.1pt;z-index:251658240;visibility:visible" o:allowincell="f">
            <v:imagedata r:id="rId12" o:title="SBA Eagle - black" croptop="3637f" cropbottom="12730f" cropleft="10286f" cropright="10286f"/>
            <w10:wrap type="square"/>
          </v:shape>
        </w:pict>
      </w:r>
      <w:r w:rsidRPr="00861A19">
        <w:rPr>
          <w:noProof/>
        </w:rPr>
        <w:pict>
          <v:shape id="_x0000_s1026" type="#_x0000_t75" style="position:absolute;margin-left:-11.7pt;margin-top:23.8pt;width:72.7pt;height:75.1pt;z-index:251657216" o:allowincell="f" fillcolor="window">
            <v:imagedata r:id="rId12" o:title="SBA Eagle - black" croptop="3637f" cropbottom="12730f" cropleft="10286f" cropright="10286f"/>
            <w10:wrap type="square"/>
          </v:shape>
        </w:pict>
      </w:r>
      <w:r w:rsidR="007511E0">
        <w:rPr>
          <w:rFonts w:ascii="CG Times (W1)" w:hAnsi="CG Times (W1)"/>
          <w:sz w:val="48"/>
        </w:rPr>
        <w:tab/>
      </w:r>
      <w:r w:rsidR="007511E0">
        <w:rPr>
          <w:b/>
          <w:sz w:val="56"/>
        </w:rPr>
        <w:t>SBA P</w:t>
      </w:r>
      <w:r w:rsidR="00C16842">
        <w:rPr>
          <w:b/>
          <w:sz w:val="56"/>
        </w:rPr>
        <w:t>rocedural</w:t>
      </w:r>
      <w:r w:rsidR="007511E0">
        <w:rPr>
          <w:b/>
          <w:sz w:val="56"/>
        </w:rPr>
        <w:t xml:space="preserve"> Notice</w:t>
      </w:r>
    </w:p>
    <w:p w:rsidR="007511E0" w:rsidRDefault="007511E0">
      <w:pPr>
        <w:framePr w:w="9360" w:h="2160" w:hRule="exact" w:hSpace="187" w:wrap="around" w:vAnchor="page" w:hAnchor="text" w:xAlign="center" w:y="1" w:anchorLock="1"/>
        <w:tabs>
          <w:tab w:val="center" w:pos="4860"/>
        </w:tabs>
        <w:spacing w:before="840"/>
        <w:rPr>
          <w:b/>
          <w:sz w:val="56"/>
        </w:rPr>
      </w:pPr>
    </w:p>
    <w:p w:rsidR="007511E0" w:rsidRDefault="007511E0">
      <w:pPr>
        <w:framePr w:w="9360" w:h="2160" w:hRule="exact" w:hSpace="187" w:wrap="around" w:vAnchor="page" w:hAnchor="text" w:xAlign="center" w:y="1" w:anchorLock="1"/>
        <w:tabs>
          <w:tab w:val="center" w:pos="4860"/>
        </w:tabs>
        <w:spacing w:before="840"/>
        <w:rPr>
          <w:b/>
          <w:sz w:val="56"/>
        </w:rPr>
      </w:pPr>
      <w:r>
        <w:rPr>
          <w:b/>
          <w:sz w:val="56"/>
        </w:rPr>
        <w:t>g</w:t>
      </w:r>
    </w:p>
    <w:p w:rsidR="007511E0" w:rsidRDefault="00861A19">
      <w:pPr>
        <w:framePr w:w="9360" w:h="2160" w:hRule="exact" w:hSpace="187" w:wrap="around" w:vAnchor="page" w:hAnchor="text" w:xAlign="center" w:y="1" w:anchorLock="1"/>
        <w:tabs>
          <w:tab w:val="right" w:pos="2520"/>
        </w:tabs>
        <w:rPr>
          <w:rFonts w:ascii="CG Times (W1)" w:hAnsi="CG Times (W1)"/>
          <w:sz w:val="16"/>
        </w:rPr>
      </w:pPr>
      <w:r>
        <w:rPr>
          <w:rFonts w:ascii="CG Times (W1)" w:hAnsi="CG Times (W1)"/>
          <w:sz w:val="16"/>
        </w:rPr>
        <w:fldChar w:fldCharType="begin"/>
      </w:r>
      <w:r w:rsidR="007511E0">
        <w:rPr>
          <w:rFonts w:ascii="CG Times (W1)" w:hAnsi="CG Times (W1)"/>
          <w:sz w:val="16"/>
        </w:rPr>
        <w:instrText xml:space="preserve"> Set ExpDate"11/5/96" </w:instrText>
      </w:r>
      <w:r>
        <w:rPr>
          <w:rFonts w:ascii="CG Times (W1)" w:hAnsi="CG Times (W1)"/>
          <w:sz w:val="16"/>
        </w:rPr>
        <w:fldChar w:fldCharType="separate"/>
      </w:r>
      <w:r w:rsidR="007511E0">
        <w:rPr>
          <w:rFonts w:ascii="CG Times (W1)" w:hAnsi="CG Times (W1)"/>
          <w:noProof/>
          <w:sz w:val="16"/>
        </w:rPr>
        <w:t>11/5/96</w:t>
      </w:r>
      <w:r>
        <w:rPr>
          <w:rFonts w:ascii="CG Times (W1)" w:hAnsi="CG Times (W1)"/>
          <w:sz w:val="16"/>
        </w:rPr>
        <w:fldChar w:fldCharType="end"/>
      </w:r>
      <w:r>
        <w:rPr>
          <w:rFonts w:ascii="CG Times (W1)" w:hAnsi="CG Times (W1)"/>
          <w:sz w:val="16"/>
        </w:rPr>
        <w:fldChar w:fldCharType="begin"/>
      </w:r>
      <w:r w:rsidR="007511E0">
        <w:rPr>
          <w:rFonts w:ascii="CG Times (W1)" w:hAnsi="CG Times (W1)"/>
          <w:sz w:val="16"/>
        </w:rPr>
        <w:instrText xml:space="preserve"> Set ExpDate"12/31/96" </w:instrText>
      </w:r>
      <w:r>
        <w:rPr>
          <w:rFonts w:ascii="CG Times (W1)" w:hAnsi="CG Times (W1)"/>
          <w:sz w:val="16"/>
        </w:rPr>
        <w:fldChar w:fldCharType="separate"/>
      </w:r>
      <w:r w:rsidR="007511E0">
        <w:rPr>
          <w:rFonts w:ascii="CG Times (W1)" w:hAnsi="CG Times (W1)"/>
          <w:noProof/>
          <w:sz w:val="16"/>
        </w:rPr>
        <w:t>12/31/96</w:t>
      </w:r>
      <w:r>
        <w:rPr>
          <w:rFonts w:ascii="CG Times (W1)" w:hAnsi="CG Times (W1)"/>
          <w:sz w:val="16"/>
        </w:rPr>
        <w:fldChar w:fldCharType="end"/>
      </w:r>
    </w:p>
    <w:tbl>
      <w:tblPr>
        <w:tblW w:w="0" w:type="auto"/>
        <w:tblLayout w:type="fixed"/>
        <w:tblCellMar>
          <w:left w:w="93" w:type="dxa"/>
          <w:right w:w="93" w:type="dxa"/>
        </w:tblCellMar>
        <w:tblLook w:val="0000"/>
      </w:tblPr>
      <w:tblGrid>
        <w:gridCol w:w="738"/>
        <w:gridCol w:w="846"/>
        <w:gridCol w:w="3819"/>
        <w:gridCol w:w="1958"/>
        <w:gridCol w:w="2186"/>
      </w:tblGrid>
      <w:tr w:rsidR="007511E0">
        <w:trPr>
          <w:trHeight w:val="800"/>
        </w:trPr>
        <w:tc>
          <w:tcPr>
            <w:tcW w:w="738" w:type="dxa"/>
            <w:tcBorders>
              <w:top w:val="single" w:sz="6" w:space="0" w:color="auto"/>
            </w:tcBorders>
          </w:tcPr>
          <w:p w:rsidR="007511E0" w:rsidRDefault="007511E0">
            <w:pPr>
              <w:suppressAutoHyphens/>
              <w:spacing w:before="12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TO</w:t>
            </w:r>
            <w:r>
              <w:rPr>
                <w:rFonts w:ascii="Arial" w:hAnsi="Arial"/>
                <w:b/>
                <w:sz w:val="24"/>
              </w:rPr>
              <w:t>:</w:t>
            </w:r>
          </w:p>
        </w:tc>
        <w:tc>
          <w:tcPr>
            <w:tcW w:w="4665" w:type="dxa"/>
            <w:gridSpan w:val="2"/>
            <w:tcBorders>
              <w:top w:val="single" w:sz="6" w:space="0" w:color="auto"/>
            </w:tcBorders>
          </w:tcPr>
          <w:p w:rsidR="007511E0" w:rsidRPr="0093501A" w:rsidRDefault="007511E0" w:rsidP="0093501A">
            <w:pPr>
              <w:rPr>
                <w:sz w:val="24"/>
                <w:szCs w:val="24"/>
              </w:rPr>
            </w:pPr>
            <w:bookmarkStart w:id="0" w:name="ToNames"/>
            <w:bookmarkEnd w:id="0"/>
            <w:r w:rsidRPr="0093501A">
              <w:rPr>
                <w:sz w:val="24"/>
                <w:szCs w:val="24"/>
              </w:rPr>
              <w:t>All SBA Employees</w:t>
            </w:r>
          </w:p>
        </w:tc>
        <w:tc>
          <w:tcPr>
            <w:tcW w:w="1958" w:type="dxa"/>
            <w:tcBorders>
              <w:top w:val="single" w:sz="6" w:space="0" w:color="auto"/>
            </w:tcBorders>
          </w:tcPr>
          <w:p w:rsidR="007511E0" w:rsidRDefault="007511E0">
            <w:pPr>
              <w:suppressAutoHyphens/>
              <w:spacing w:before="12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CONTROL NO.:</w:t>
            </w:r>
          </w:p>
        </w:tc>
        <w:tc>
          <w:tcPr>
            <w:tcW w:w="2182" w:type="dxa"/>
            <w:tcBorders>
              <w:top w:val="single" w:sz="6" w:space="0" w:color="auto"/>
            </w:tcBorders>
          </w:tcPr>
          <w:p w:rsidR="007511E0" w:rsidRDefault="00EE0585">
            <w:pPr>
              <w:suppressAutoHyphens/>
              <w:spacing w:before="120"/>
              <w:rPr>
                <w:rFonts w:ascii="Arial" w:hAnsi="Arial"/>
              </w:rPr>
            </w:pPr>
            <w:bookmarkStart w:id="1" w:name="Control"/>
            <w:bookmarkEnd w:id="1"/>
            <w:r>
              <w:rPr>
                <w:rFonts w:ascii="Arial" w:hAnsi="Arial"/>
              </w:rPr>
              <w:t>5000-</w:t>
            </w:r>
            <w:r w:rsidR="00D97CB4">
              <w:rPr>
                <w:rFonts w:ascii="Arial" w:hAnsi="Arial"/>
              </w:rPr>
              <w:t>1205</w:t>
            </w:r>
          </w:p>
        </w:tc>
      </w:tr>
      <w:tr w:rsidR="007511E0">
        <w:trPr>
          <w:trHeight w:val="480"/>
        </w:trPr>
        <w:tc>
          <w:tcPr>
            <w:tcW w:w="1584" w:type="dxa"/>
            <w:gridSpan w:val="2"/>
            <w:tcBorders>
              <w:bottom w:val="single" w:sz="6" w:space="0" w:color="auto"/>
            </w:tcBorders>
          </w:tcPr>
          <w:p w:rsidR="007511E0" w:rsidRDefault="007511E0">
            <w:pPr>
              <w:suppressAutoHyphens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8"/>
              </w:rPr>
              <w:t>SUBJECT</w:t>
            </w:r>
            <w:r>
              <w:rPr>
                <w:rFonts w:ascii="Arial" w:hAnsi="Arial"/>
                <w:sz w:val="24"/>
              </w:rPr>
              <w:t>:</w:t>
            </w:r>
          </w:p>
        </w:tc>
        <w:tc>
          <w:tcPr>
            <w:tcW w:w="3819" w:type="dxa"/>
            <w:tcBorders>
              <w:bottom w:val="single" w:sz="6" w:space="0" w:color="auto"/>
            </w:tcBorders>
          </w:tcPr>
          <w:p w:rsidR="007511E0" w:rsidRPr="0093501A" w:rsidRDefault="007D425C">
            <w:pPr>
              <w:suppressAutoHyphens/>
              <w:rPr>
                <w:sz w:val="24"/>
              </w:rPr>
            </w:pPr>
            <w:bookmarkStart w:id="2" w:name="Subject"/>
            <w:bookmarkEnd w:id="2"/>
            <w:r>
              <w:rPr>
                <w:sz w:val="24"/>
                <w:szCs w:val="24"/>
              </w:rPr>
              <w:t>Secondary Market</w:t>
            </w:r>
            <w:r w:rsidR="00AA60D4">
              <w:rPr>
                <w:sz w:val="24"/>
                <w:szCs w:val="24"/>
              </w:rPr>
              <w:t xml:space="preserve"> Sales by SBA Lenders</w:t>
            </w:r>
            <w:r w:rsidR="00286E82" w:rsidRPr="0093501A">
              <w:rPr>
                <w:sz w:val="24"/>
              </w:rPr>
              <w:t xml:space="preserve"> </w:t>
            </w:r>
            <w:r w:rsidR="004403ED" w:rsidRPr="0093501A">
              <w:rPr>
                <w:sz w:val="24"/>
              </w:rPr>
              <w:t xml:space="preserve"> </w:t>
            </w:r>
            <w:r w:rsidR="003E7269">
              <w:rPr>
                <w:sz w:val="24"/>
              </w:rPr>
              <w:t>- Reserve Agreement</w:t>
            </w:r>
          </w:p>
        </w:tc>
        <w:tc>
          <w:tcPr>
            <w:tcW w:w="1954" w:type="dxa"/>
            <w:tcBorders>
              <w:bottom w:val="single" w:sz="6" w:space="0" w:color="auto"/>
            </w:tcBorders>
          </w:tcPr>
          <w:p w:rsidR="007511E0" w:rsidRDefault="007511E0" w:rsidP="00D97CB4">
            <w:pPr>
              <w:suppressAutoHyphens/>
              <w:rPr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EFFECTIVE:</w:t>
            </w:r>
            <w:r w:rsidR="00617463">
              <w:rPr>
                <w:rFonts w:ascii="Arial" w:hAnsi="Arial"/>
                <w:b/>
                <w:sz w:val="24"/>
              </w:rPr>
              <w:t xml:space="preserve"> </w:t>
            </w:r>
          </w:p>
        </w:tc>
        <w:tc>
          <w:tcPr>
            <w:tcW w:w="2186" w:type="dxa"/>
            <w:tcBorders>
              <w:bottom w:val="single" w:sz="6" w:space="0" w:color="auto"/>
            </w:tcBorders>
          </w:tcPr>
          <w:p w:rsidR="007511E0" w:rsidRDefault="00D97CB4">
            <w:pPr>
              <w:suppressAutoHyphens/>
              <w:rPr>
                <w:rFonts w:ascii="Arial" w:hAnsi="Arial"/>
              </w:rPr>
            </w:pPr>
            <w:bookmarkStart w:id="3" w:name="Effective"/>
            <w:bookmarkEnd w:id="3"/>
            <w:r>
              <w:rPr>
                <w:rFonts w:ascii="Arial" w:hAnsi="Arial"/>
              </w:rPr>
              <w:t>4/15/2011</w:t>
            </w:r>
          </w:p>
        </w:tc>
      </w:tr>
    </w:tbl>
    <w:p w:rsidR="008741FA" w:rsidRDefault="008741FA" w:rsidP="009A1154">
      <w:pPr>
        <w:suppressAutoHyphens/>
        <w:rPr>
          <w:sz w:val="24"/>
        </w:rPr>
      </w:pPr>
    </w:p>
    <w:p w:rsidR="00EE0585" w:rsidRPr="005C74C5" w:rsidRDefault="00F75835" w:rsidP="008C3E5E">
      <w:pPr>
        <w:pStyle w:val="Style1"/>
        <w:spacing w:line="360" w:lineRule="auto"/>
        <w:ind w:firstLine="720"/>
      </w:pPr>
      <w:r>
        <w:t xml:space="preserve">In 2009 and 2010, </w:t>
      </w:r>
      <w:r w:rsidR="00EE0585" w:rsidRPr="005C74C5">
        <w:t>SBA issued SBA Information Notice No. 5000-1106 and SBA Procedural Notice No. 500</w:t>
      </w:r>
      <w:r w:rsidR="00F76FE6">
        <w:t>0</w:t>
      </w:r>
      <w:r w:rsidR="00EE0585" w:rsidRPr="005C74C5">
        <w:t>-1161</w:t>
      </w:r>
      <w:r w:rsidR="00BB45B4">
        <w:t xml:space="preserve"> </w:t>
      </w:r>
      <w:r w:rsidR="00E66771" w:rsidRPr="005C74C5">
        <w:t>(May </w:t>
      </w:r>
      <w:r w:rsidR="009726CC">
        <w:t>22</w:t>
      </w:r>
      <w:r w:rsidR="00E66771" w:rsidRPr="005C74C5">
        <w:t>, 2009 and July 7, 2010, respectively)</w:t>
      </w:r>
      <w:r w:rsidR="00F76FE6">
        <w:t>,</w:t>
      </w:r>
      <w:r w:rsidR="00EE0585" w:rsidRPr="005C74C5">
        <w:t xml:space="preserve"> both entitled “</w:t>
      </w:r>
      <w:r w:rsidR="007D425C">
        <w:t>Secondary Market</w:t>
      </w:r>
      <w:r w:rsidR="00EE0585" w:rsidRPr="005C74C5">
        <w:t xml:space="preserve"> Sales by SBA Lenders”</w:t>
      </w:r>
      <w:r w:rsidR="00F76FE6">
        <w:t>,</w:t>
      </w:r>
      <w:r w:rsidR="00EE0585" w:rsidRPr="005C74C5">
        <w:t xml:space="preserve"> to</w:t>
      </w:r>
      <w:r w:rsidR="00F76FE6">
        <w:t xml:space="preserve"> assist in</w:t>
      </w:r>
      <w:r w:rsidR="00EE0585" w:rsidRPr="005C74C5">
        <w:t xml:space="preserve"> notify</w:t>
      </w:r>
      <w:r>
        <w:t>ing</w:t>
      </w:r>
      <w:r w:rsidR="00EE0585" w:rsidRPr="005C74C5">
        <w:t xml:space="preserve"> stakeholders that </w:t>
      </w:r>
      <w:r>
        <w:t>SBA</w:t>
      </w:r>
      <w:r w:rsidR="00EE0585" w:rsidRPr="005C74C5">
        <w:t xml:space="preserve"> was increasing its level of supervision </w:t>
      </w:r>
      <w:r w:rsidR="00001741">
        <w:t xml:space="preserve">over </w:t>
      </w:r>
      <w:r>
        <w:t xml:space="preserve">certain higher risk </w:t>
      </w:r>
      <w:r w:rsidR="00540D71">
        <w:t>SBA Lender</w:t>
      </w:r>
      <w:r w:rsidR="00001741">
        <w:t>s</w:t>
      </w:r>
      <w:r w:rsidR="00FE6E8E">
        <w:t xml:space="preserve"> that participate in the </w:t>
      </w:r>
      <w:r w:rsidR="007D425C">
        <w:t>Secondary Market</w:t>
      </w:r>
      <w:r>
        <w:t xml:space="preserve">.  Specifically, the </w:t>
      </w:r>
      <w:r w:rsidR="009726CC">
        <w:t>N</w:t>
      </w:r>
      <w:r>
        <w:t xml:space="preserve">otices covered all SBA Lenders </w:t>
      </w:r>
      <w:r w:rsidR="00001741">
        <w:t>that</w:t>
      </w:r>
      <w:r w:rsidR="00540D71">
        <w:t xml:space="preserve"> </w:t>
      </w:r>
      <w:r w:rsidR="009726CC">
        <w:t>seek</w:t>
      </w:r>
      <w:r w:rsidR="00540D71">
        <w:t xml:space="preserve"> to sell </w:t>
      </w:r>
      <w:r w:rsidR="00001741">
        <w:t>loans</w:t>
      </w:r>
      <w:r w:rsidR="00540D71">
        <w:t xml:space="preserve"> into the </w:t>
      </w:r>
      <w:r w:rsidR="007D425C">
        <w:t>Secondary Market</w:t>
      </w:r>
      <w:r w:rsidR="00540D71">
        <w:t xml:space="preserve"> and </w:t>
      </w:r>
      <w:r>
        <w:t xml:space="preserve">that </w:t>
      </w:r>
      <w:r w:rsidR="00001741">
        <w:t>are</w:t>
      </w:r>
      <w:r w:rsidR="00540D71">
        <w:t xml:space="preserve"> subject to </w:t>
      </w:r>
      <w:r w:rsidR="00492886">
        <w:t xml:space="preserve">(i) </w:t>
      </w:r>
      <w:r w:rsidR="00540D71">
        <w:t>a Cease &amp; Desist order</w:t>
      </w:r>
      <w:r w:rsidR="009726CC">
        <w:t xml:space="preserve">, </w:t>
      </w:r>
      <w:r w:rsidR="00492886">
        <w:t xml:space="preserve">(ii) </w:t>
      </w:r>
      <w:r w:rsidR="009726CC">
        <w:t>a Consent Agreement affecting capital or commercial lending issues,</w:t>
      </w:r>
      <w:r w:rsidR="00540D71">
        <w:t xml:space="preserve"> or </w:t>
      </w:r>
      <w:r w:rsidR="00492886">
        <w:t xml:space="preserve">(iii) </w:t>
      </w:r>
      <w:r w:rsidR="00540D71">
        <w:t xml:space="preserve">other supervisory action that cites unsafe and unsound banking practices or other items of concern to SBA, or </w:t>
      </w:r>
      <w:r w:rsidR="00492886">
        <w:t xml:space="preserve">(iv) </w:t>
      </w:r>
      <w:r w:rsidR="00E66771">
        <w:t>where the</w:t>
      </w:r>
      <w:r w:rsidR="00540D71">
        <w:t xml:space="preserve"> SBA Lender’s auditor issue</w:t>
      </w:r>
      <w:r>
        <w:t>d</w:t>
      </w:r>
      <w:r w:rsidR="00540D71">
        <w:t xml:space="preserve"> a Going Concern opinion in the audited financial statements</w:t>
      </w:r>
      <w:r w:rsidR="008824FF">
        <w:t xml:space="preserve"> (collectively, the “Actions”)</w:t>
      </w:r>
      <w:r w:rsidR="00540D71">
        <w:t>.</w:t>
      </w:r>
      <w:r>
        <w:t xml:space="preserve">  Recently, these </w:t>
      </w:r>
      <w:r w:rsidR="009726CC">
        <w:t>N</w:t>
      </w:r>
      <w:r>
        <w:t xml:space="preserve">otices were incorporated into SBA Standard Operating Procedure (SOP) 50 53 on </w:t>
      </w:r>
      <w:r w:rsidR="009726CC">
        <w:t>Lender</w:t>
      </w:r>
      <w:r>
        <w:t xml:space="preserve"> Supervision and Enforcement (eff. Oct. 1, 2010)</w:t>
      </w:r>
      <w:r w:rsidR="00E66771">
        <w:t>.</w:t>
      </w:r>
    </w:p>
    <w:p w:rsidR="00EE0585" w:rsidRPr="005C74C5" w:rsidRDefault="00EE0585" w:rsidP="00D87172">
      <w:pPr>
        <w:pStyle w:val="Style1"/>
        <w:spacing w:line="360" w:lineRule="auto"/>
        <w:ind w:firstLine="720"/>
      </w:pPr>
      <w:r w:rsidRPr="005C74C5">
        <w:t xml:space="preserve">SBA is responsible for ensuring the integrity of the 7(a) Loan and </w:t>
      </w:r>
      <w:r w:rsidR="007D425C">
        <w:t>Secondary Market</w:t>
      </w:r>
      <w:r w:rsidRPr="005C74C5">
        <w:t xml:space="preserve"> programs under its supervision, and</w:t>
      </w:r>
      <w:r w:rsidR="00265F82">
        <w:t xml:space="preserve"> for</w:t>
      </w:r>
      <w:r w:rsidRPr="005C74C5">
        <w:t xml:space="preserve"> </w:t>
      </w:r>
      <w:r w:rsidR="00F75835">
        <w:t xml:space="preserve">managing </w:t>
      </w:r>
      <w:r w:rsidRPr="005C74C5">
        <w:t xml:space="preserve">SBA guaranty exposure.  The </w:t>
      </w:r>
      <w:r w:rsidR="009726CC">
        <w:t xml:space="preserve">sale of </w:t>
      </w:r>
      <w:r w:rsidR="002D02CE">
        <w:t>the portion</w:t>
      </w:r>
      <w:r w:rsidRPr="005C74C5">
        <w:t xml:space="preserve"> of </w:t>
      </w:r>
      <w:r w:rsidR="00825AD6">
        <w:t xml:space="preserve">7(a) </w:t>
      </w:r>
      <w:r w:rsidRPr="005C74C5">
        <w:t>loans</w:t>
      </w:r>
      <w:r w:rsidR="00575D2D">
        <w:t xml:space="preserve"> guaranteed by SBA (Guaranteed Portion) </w:t>
      </w:r>
      <w:r w:rsidRPr="005C74C5">
        <w:t xml:space="preserve">into </w:t>
      </w:r>
      <w:r w:rsidR="00575D2D">
        <w:t>the</w:t>
      </w:r>
      <w:r w:rsidRPr="005C74C5">
        <w:t xml:space="preserve"> </w:t>
      </w:r>
      <w:r w:rsidR="007D425C">
        <w:t>Secondary Market</w:t>
      </w:r>
      <w:r w:rsidR="009726CC">
        <w:t xml:space="preserve"> by these SBA Lenders</w:t>
      </w:r>
      <w:r w:rsidRPr="005C74C5">
        <w:t xml:space="preserve"> can have a significant impact on SBA’s ability to manage program risk.  </w:t>
      </w:r>
      <w:r w:rsidR="00575D2D">
        <w:t>Mo</w:t>
      </w:r>
      <w:r w:rsidR="009726CC">
        <w:t>re</w:t>
      </w:r>
      <w:r w:rsidR="00575D2D">
        <w:t xml:space="preserve"> specifically, once the Guaranteed Portion is </w:t>
      </w:r>
      <w:r w:rsidR="002B3F88">
        <w:t>sold, the</w:t>
      </w:r>
      <w:r w:rsidR="00575D2D">
        <w:t xml:space="preserve"> guarantee </w:t>
      </w:r>
      <w:r w:rsidR="009726CC">
        <w:t xml:space="preserve">effectively </w:t>
      </w:r>
      <w:r w:rsidR="00575D2D">
        <w:t xml:space="preserve">changes from a conditional guarantee to the </w:t>
      </w:r>
      <w:r w:rsidR="009726CC">
        <w:t>SBA L</w:t>
      </w:r>
      <w:r w:rsidR="00575D2D">
        <w:t xml:space="preserve">ender to an unconditional guarantee to the </w:t>
      </w:r>
      <w:r w:rsidR="009726CC">
        <w:t>Registered Holder</w:t>
      </w:r>
      <w:r w:rsidR="00575D2D">
        <w:t xml:space="preserve">. </w:t>
      </w:r>
      <w:r w:rsidR="009726CC">
        <w:t>If a borrower defaults,</w:t>
      </w:r>
      <w:r w:rsidR="00575D2D">
        <w:t xml:space="preserve"> SBA </w:t>
      </w:r>
      <w:r w:rsidR="009726CC">
        <w:t xml:space="preserve">generally </w:t>
      </w:r>
      <w:r w:rsidR="00575D2D">
        <w:t xml:space="preserve">purchases the Guaranteed Portion from the </w:t>
      </w:r>
      <w:r w:rsidR="009726CC">
        <w:t>Registered Holder</w:t>
      </w:r>
      <w:r w:rsidR="00575D2D">
        <w:t xml:space="preserve"> out of the </w:t>
      </w:r>
      <w:r w:rsidR="007D425C">
        <w:t>Secondary Market</w:t>
      </w:r>
      <w:r w:rsidR="00575D2D">
        <w:t xml:space="preserve"> and, </w:t>
      </w:r>
      <w:r w:rsidR="00662F7C">
        <w:t>as appropriate</w:t>
      </w:r>
      <w:r w:rsidR="00575D2D">
        <w:t xml:space="preserve">, pursues </w:t>
      </w:r>
      <w:r w:rsidR="00C91884">
        <w:t>the SBA L</w:t>
      </w:r>
      <w:r w:rsidR="00575D2D">
        <w:t>ender for any repairs or denials based on a post</w:t>
      </w:r>
      <w:r w:rsidR="00AA4F67">
        <w:t>-</w:t>
      </w:r>
      <w:r w:rsidR="00575D2D">
        <w:t xml:space="preserve">purchase review.  </w:t>
      </w:r>
      <w:r w:rsidR="007426D2">
        <w:t>However, if an</w:t>
      </w:r>
      <w:r w:rsidR="00575D2D">
        <w:t xml:space="preserve"> SBA Lender is </w:t>
      </w:r>
      <w:r w:rsidR="00C91884">
        <w:t>placed</w:t>
      </w:r>
      <w:r w:rsidR="00575D2D">
        <w:t xml:space="preserve"> </w:t>
      </w:r>
      <w:r w:rsidR="007752E1">
        <w:t>in</w:t>
      </w:r>
      <w:r w:rsidR="00575D2D">
        <w:t xml:space="preserve"> receivership</w:t>
      </w:r>
      <w:r w:rsidRPr="005C74C5">
        <w:t xml:space="preserve"> by the Federal Deposit Insurance Corporation</w:t>
      </w:r>
      <w:r w:rsidR="00E66771">
        <w:t xml:space="preserve"> (FDIC)</w:t>
      </w:r>
      <w:r w:rsidR="00575D2D">
        <w:t xml:space="preserve">, SBA </w:t>
      </w:r>
      <w:r w:rsidR="00C91884">
        <w:t xml:space="preserve">may </w:t>
      </w:r>
      <w:r w:rsidR="002D02CE">
        <w:t>be limited</w:t>
      </w:r>
      <w:r w:rsidR="00575D2D">
        <w:t xml:space="preserve"> in its ability to </w:t>
      </w:r>
      <w:r w:rsidRPr="005C74C5">
        <w:t xml:space="preserve">receive its entitled reimbursement of the portion of the purchase amount denied </w:t>
      </w:r>
      <w:r w:rsidR="00575D2D">
        <w:t xml:space="preserve">or repaired </w:t>
      </w:r>
      <w:r w:rsidRPr="005C74C5">
        <w:t>from the failed institution.</w:t>
      </w:r>
    </w:p>
    <w:p w:rsidR="00F11FBB" w:rsidRDefault="00575D2D" w:rsidP="000A332F">
      <w:pPr>
        <w:pStyle w:val="Style1"/>
        <w:spacing w:line="360" w:lineRule="auto"/>
        <w:ind w:firstLine="720"/>
      </w:pPr>
      <w:r>
        <w:t>To</w:t>
      </w:r>
      <w:r w:rsidR="00C91884">
        <w:t>wards mitigating</w:t>
      </w:r>
      <w:r>
        <w:t xml:space="preserve"> this concern, SBA has been reviewing each individual loan from SBA Lenders that fall into the categories identified above prior to </w:t>
      </w:r>
      <w:r w:rsidR="00C91884">
        <w:t>the</w:t>
      </w:r>
      <w:r>
        <w:t xml:space="preserve"> sale </w:t>
      </w:r>
      <w:r w:rsidR="00C91884">
        <w:t xml:space="preserve">of the Guaranteed </w:t>
      </w:r>
      <w:r w:rsidR="00C91884">
        <w:lastRenderedPageBreak/>
        <w:t>Portion</w:t>
      </w:r>
      <w:r>
        <w:t xml:space="preserve"> in the </w:t>
      </w:r>
      <w:r w:rsidR="007D425C">
        <w:t>Secondary Market</w:t>
      </w:r>
      <w:r>
        <w:t xml:space="preserve">.  This process is resource intensive and may result in delays to the SBA Lender in selling the Guaranteed Portion in the </w:t>
      </w:r>
      <w:r w:rsidR="007D425C">
        <w:t>Secondary Market</w:t>
      </w:r>
      <w:r>
        <w:t xml:space="preserve">.  </w:t>
      </w:r>
      <w:r w:rsidR="00C91884">
        <w:t>In order to facilitate the process and better manag</w:t>
      </w:r>
      <w:r w:rsidR="000F139C">
        <w:t xml:space="preserve">e risks, effective </w:t>
      </w:r>
      <w:r w:rsidR="0029794C">
        <w:t>June 30</w:t>
      </w:r>
      <w:r w:rsidR="002D02CE">
        <w:t>, 2011</w:t>
      </w:r>
      <w:r w:rsidR="00AC4D86">
        <w:t xml:space="preserve">, </w:t>
      </w:r>
      <w:r w:rsidR="002B3F88">
        <w:t>SBA will</w:t>
      </w:r>
      <w:r w:rsidR="001A02BB">
        <w:t>, in general,</w:t>
      </w:r>
      <w:r w:rsidR="002B3F88">
        <w:t xml:space="preserve"> no longer review each individual loan prior to sale.  </w:t>
      </w:r>
      <w:r w:rsidR="0049279D">
        <w:t xml:space="preserve">Instead, </w:t>
      </w:r>
      <w:r w:rsidR="00AC4D86">
        <w:t xml:space="preserve">SBA Lenders subject to </w:t>
      </w:r>
      <w:r w:rsidR="008824FF">
        <w:t xml:space="preserve">any one </w:t>
      </w:r>
      <w:r w:rsidR="00492886">
        <w:t xml:space="preserve">or more </w:t>
      </w:r>
      <w:r w:rsidR="008824FF">
        <w:t xml:space="preserve">of the </w:t>
      </w:r>
      <w:r w:rsidR="00492886">
        <w:t xml:space="preserve">four </w:t>
      </w:r>
      <w:r w:rsidR="008824FF">
        <w:t>Actions defined above</w:t>
      </w:r>
      <w:r w:rsidR="008545A8">
        <w:t xml:space="preserve"> </w:t>
      </w:r>
      <w:r w:rsidR="000A332F">
        <w:t xml:space="preserve">will </w:t>
      </w:r>
      <w:r w:rsidR="000C62A1">
        <w:t>be required</w:t>
      </w:r>
      <w:r w:rsidR="000A332F">
        <w:t xml:space="preserve"> to</w:t>
      </w:r>
      <w:r w:rsidR="00EE0585" w:rsidRPr="005C74C5">
        <w:t xml:space="preserve"> enter into a Reserve Account Ag</w:t>
      </w:r>
      <w:r w:rsidR="00411DC9">
        <w:t>reement (“Agreement”) with SBA</w:t>
      </w:r>
      <w:r w:rsidR="007752E1" w:rsidRPr="007752E1">
        <w:t xml:space="preserve"> </w:t>
      </w:r>
      <w:r w:rsidR="007752E1">
        <w:t xml:space="preserve">prior to requesting SBA approval </w:t>
      </w:r>
      <w:r w:rsidR="007752E1" w:rsidRPr="005C74C5">
        <w:t xml:space="preserve">to sell loans into the </w:t>
      </w:r>
      <w:r w:rsidR="007D425C">
        <w:t>Secondary Market</w:t>
      </w:r>
      <w:r w:rsidR="00411DC9">
        <w:t>.</w:t>
      </w:r>
      <w:r w:rsidR="00EE0585" w:rsidRPr="005C74C5">
        <w:t xml:space="preserve"> </w:t>
      </w:r>
      <w:r w:rsidR="000A332F">
        <w:t xml:space="preserve"> </w:t>
      </w:r>
      <w:r w:rsidR="00F11FBB">
        <w:t xml:space="preserve">The Reserve Account established by the Agreement </w:t>
      </w:r>
      <w:r w:rsidR="00B7550C">
        <w:t>is</w:t>
      </w:r>
      <w:r w:rsidR="00B7550C" w:rsidRPr="005C74C5">
        <w:t xml:space="preserve"> necessary</w:t>
      </w:r>
      <w:r w:rsidR="00F11FBB" w:rsidRPr="005C74C5">
        <w:t xml:space="preserve"> to pro</w:t>
      </w:r>
      <w:r w:rsidR="00FE6E8E">
        <w:t>tect</w:t>
      </w:r>
      <w:r w:rsidR="00F11FBB" w:rsidRPr="005C74C5">
        <w:t xml:space="preserve"> </w:t>
      </w:r>
      <w:r w:rsidR="005A1C18">
        <w:t>SBA</w:t>
      </w:r>
      <w:r>
        <w:t xml:space="preserve"> and the taxpayer from unnecessary losses,</w:t>
      </w:r>
      <w:r w:rsidR="005A1C18">
        <w:t xml:space="preserve"> </w:t>
      </w:r>
      <w:r w:rsidR="00097B5C">
        <w:t xml:space="preserve">and provide </w:t>
      </w:r>
      <w:r w:rsidR="005A1C18">
        <w:t xml:space="preserve">greater </w:t>
      </w:r>
      <w:r w:rsidR="00F11FBB" w:rsidRPr="005C74C5">
        <w:t xml:space="preserve">assurance of repayment for post-purchase repairs and denials on </w:t>
      </w:r>
      <w:r>
        <w:t xml:space="preserve">the </w:t>
      </w:r>
      <w:r w:rsidR="00F11FBB" w:rsidRPr="005C74C5">
        <w:t>Guaranteed</w:t>
      </w:r>
      <w:r w:rsidR="005A1C18">
        <w:t xml:space="preserve"> Portion </w:t>
      </w:r>
      <w:r>
        <w:t xml:space="preserve">of </w:t>
      </w:r>
      <w:r w:rsidR="007D425C">
        <w:t>Secondary Market</w:t>
      </w:r>
      <w:r w:rsidR="008545A8">
        <w:t xml:space="preserve"> l</w:t>
      </w:r>
      <w:r w:rsidR="000F139C">
        <w:t>oans</w:t>
      </w:r>
      <w:r w:rsidR="005A1C18">
        <w:t xml:space="preserve"> by </w:t>
      </w:r>
      <w:r w:rsidR="00E66771">
        <w:t xml:space="preserve">these </w:t>
      </w:r>
      <w:r w:rsidR="005A1C18">
        <w:t xml:space="preserve">SBA Lenders.  </w:t>
      </w:r>
    </w:p>
    <w:p w:rsidR="00C66AD1" w:rsidRDefault="00EE0585">
      <w:pPr>
        <w:pStyle w:val="Style1"/>
        <w:spacing w:line="360" w:lineRule="auto"/>
        <w:ind w:firstLine="720"/>
      </w:pPr>
      <w:r w:rsidRPr="005C74C5">
        <w:t xml:space="preserve">Under the Agreement, before </w:t>
      </w:r>
      <w:r w:rsidR="000A332F">
        <w:t xml:space="preserve">SBA will approve </w:t>
      </w:r>
      <w:r w:rsidRPr="005C74C5">
        <w:t xml:space="preserve">the sale of any Guaranteed Portion on the </w:t>
      </w:r>
      <w:r w:rsidR="007D425C">
        <w:t>Secondary Market</w:t>
      </w:r>
      <w:r w:rsidRPr="005C74C5">
        <w:t xml:space="preserve">, the SBA Lender will be required to establish a Reserve Account at a </w:t>
      </w:r>
      <w:r w:rsidR="009409B5">
        <w:t>well-</w:t>
      </w:r>
      <w:r w:rsidR="000A332F">
        <w:t xml:space="preserve">capitalized FDIC insured </w:t>
      </w:r>
      <w:r w:rsidRPr="005C74C5">
        <w:t xml:space="preserve">depository financial institution and </w:t>
      </w:r>
      <w:r w:rsidR="005A1C18">
        <w:t>fund the account as follows:</w:t>
      </w:r>
    </w:p>
    <w:p w:rsidR="00411DC9" w:rsidRDefault="005A1C18" w:rsidP="005A1C18">
      <w:pPr>
        <w:pStyle w:val="Style1"/>
        <w:numPr>
          <w:ilvl w:val="0"/>
          <w:numId w:val="7"/>
        </w:numPr>
        <w:spacing w:line="360" w:lineRule="auto"/>
      </w:pPr>
      <w:r>
        <w:t>M</w:t>
      </w:r>
      <w:r w:rsidRPr="005C74C5">
        <w:t xml:space="preserve">ake </w:t>
      </w:r>
      <w:r w:rsidR="00EE0585" w:rsidRPr="005C74C5">
        <w:t xml:space="preserve">an initial deposit </w:t>
      </w:r>
      <w:r w:rsidR="00EE0585" w:rsidRPr="005C74C5">
        <w:rPr>
          <w:rFonts w:eastAsiaTheme="minorHAnsi"/>
        </w:rPr>
        <w:t xml:space="preserve">in the amount </w:t>
      </w:r>
      <w:r w:rsidR="00EE0585" w:rsidRPr="005C74C5">
        <w:t>of</w:t>
      </w:r>
      <w:r w:rsidR="00F74EEF">
        <w:t xml:space="preserve"> either</w:t>
      </w:r>
      <w:r w:rsidR="00411DC9">
        <w:t>:</w:t>
      </w:r>
    </w:p>
    <w:p w:rsidR="00411DC9" w:rsidRDefault="00411DC9" w:rsidP="005A1C18">
      <w:pPr>
        <w:pStyle w:val="Style1"/>
        <w:numPr>
          <w:ilvl w:val="1"/>
          <w:numId w:val="7"/>
        </w:numPr>
        <w:spacing w:line="360" w:lineRule="auto"/>
      </w:pPr>
      <w:r>
        <w:t xml:space="preserve">Two (2) times </w:t>
      </w:r>
      <w:r w:rsidR="00B7450C">
        <w:t>an</w:t>
      </w:r>
      <w:r w:rsidR="00F06023">
        <w:t xml:space="preserve"> </w:t>
      </w:r>
      <w:r w:rsidRPr="005C74C5">
        <w:t>SBA Lender’s</w:t>
      </w:r>
      <w:r w:rsidRPr="005C74C5">
        <w:rPr>
          <w:rFonts w:eastAsiaTheme="minorHAnsi"/>
        </w:rPr>
        <w:t xml:space="preserve"> </w:t>
      </w:r>
      <w:r w:rsidR="000F139C">
        <w:rPr>
          <w:rFonts w:eastAsiaTheme="minorHAnsi"/>
        </w:rPr>
        <w:t xml:space="preserve">average </w:t>
      </w:r>
      <w:r w:rsidR="002D02CE">
        <w:rPr>
          <w:rFonts w:eastAsiaTheme="minorHAnsi"/>
        </w:rPr>
        <w:t xml:space="preserve">7(a) </w:t>
      </w:r>
      <w:r w:rsidR="001A02BB">
        <w:t>l</w:t>
      </w:r>
      <w:r w:rsidRPr="005C74C5">
        <w:rPr>
          <w:rFonts w:eastAsiaTheme="minorHAnsi"/>
        </w:rPr>
        <w:t xml:space="preserve">oan </w:t>
      </w:r>
      <w:r w:rsidR="000F139C">
        <w:rPr>
          <w:rFonts w:eastAsiaTheme="minorHAnsi"/>
        </w:rPr>
        <w:t xml:space="preserve">size (determined by dividing </w:t>
      </w:r>
      <w:r w:rsidR="007752E1">
        <w:rPr>
          <w:rFonts w:eastAsiaTheme="minorHAnsi"/>
        </w:rPr>
        <w:t xml:space="preserve">the </w:t>
      </w:r>
      <w:r w:rsidR="000F139C">
        <w:rPr>
          <w:rFonts w:eastAsiaTheme="minorHAnsi"/>
        </w:rPr>
        <w:t>SBA Lender</w:t>
      </w:r>
      <w:r w:rsidR="007752E1">
        <w:rPr>
          <w:rFonts w:eastAsiaTheme="minorHAnsi"/>
        </w:rPr>
        <w:t>’</w:t>
      </w:r>
      <w:r w:rsidR="000F139C">
        <w:rPr>
          <w:rFonts w:eastAsiaTheme="minorHAnsi"/>
        </w:rPr>
        <w:t>s</w:t>
      </w:r>
      <w:r w:rsidR="000A332F">
        <w:rPr>
          <w:rFonts w:eastAsiaTheme="minorHAnsi"/>
        </w:rPr>
        <w:t xml:space="preserve"> gross dollars outstanding</w:t>
      </w:r>
      <w:r w:rsidR="000F139C">
        <w:rPr>
          <w:rFonts w:eastAsiaTheme="minorHAnsi"/>
        </w:rPr>
        <w:t xml:space="preserve"> by the number</w:t>
      </w:r>
      <w:r w:rsidRPr="005C74C5">
        <w:rPr>
          <w:rFonts w:eastAsiaTheme="minorHAnsi"/>
        </w:rPr>
        <w:t xml:space="preserve"> of </w:t>
      </w:r>
      <w:r w:rsidR="002D02CE">
        <w:rPr>
          <w:rFonts w:eastAsiaTheme="minorHAnsi"/>
        </w:rPr>
        <w:t xml:space="preserve">7(a) </w:t>
      </w:r>
      <w:r w:rsidR="000F139C">
        <w:rPr>
          <w:rFonts w:eastAsiaTheme="minorHAnsi"/>
        </w:rPr>
        <w:t>loans outstanding) if</w:t>
      </w:r>
      <w:r>
        <w:t xml:space="preserve"> the SBA Lender’s gross dollars outstanding </w:t>
      </w:r>
      <w:r w:rsidR="000F139C">
        <w:t xml:space="preserve">for </w:t>
      </w:r>
      <w:r w:rsidR="007752E1">
        <w:t xml:space="preserve">its active loans </w:t>
      </w:r>
      <w:r>
        <w:t>is $10 million</w:t>
      </w:r>
      <w:r w:rsidR="00B7550C">
        <w:t xml:space="preserve"> </w:t>
      </w:r>
      <w:r>
        <w:t>or greater, or</w:t>
      </w:r>
    </w:p>
    <w:p w:rsidR="00411DC9" w:rsidRDefault="00411DC9" w:rsidP="005A1C18">
      <w:pPr>
        <w:pStyle w:val="Style1"/>
        <w:numPr>
          <w:ilvl w:val="1"/>
          <w:numId w:val="7"/>
        </w:numPr>
        <w:spacing w:line="360" w:lineRule="auto"/>
      </w:pPr>
      <w:r>
        <w:t xml:space="preserve">One (1) times </w:t>
      </w:r>
      <w:r w:rsidR="00B7450C">
        <w:t xml:space="preserve">an </w:t>
      </w:r>
      <w:r w:rsidRPr="005C74C5">
        <w:t>SBA Lender’s</w:t>
      </w:r>
      <w:r w:rsidRPr="005C74C5">
        <w:rPr>
          <w:rFonts w:eastAsiaTheme="minorHAnsi"/>
        </w:rPr>
        <w:t xml:space="preserve"> </w:t>
      </w:r>
      <w:r w:rsidR="000F139C">
        <w:rPr>
          <w:rFonts w:eastAsiaTheme="minorHAnsi"/>
        </w:rPr>
        <w:t xml:space="preserve">average </w:t>
      </w:r>
      <w:r w:rsidR="002D02CE">
        <w:rPr>
          <w:rFonts w:eastAsiaTheme="minorHAnsi"/>
        </w:rPr>
        <w:t xml:space="preserve">7(a) </w:t>
      </w:r>
      <w:r w:rsidR="001A02BB">
        <w:t>l</w:t>
      </w:r>
      <w:r w:rsidRPr="005C74C5">
        <w:rPr>
          <w:rFonts w:eastAsiaTheme="minorHAnsi"/>
        </w:rPr>
        <w:t xml:space="preserve">oan </w:t>
      </w:r>
      <w:r w:rsidR="000F139C">
        <w:rPr>
          <w:rFonts w:eastAsiaTheme="minorHAnsi"/>
        </w:rPr>
        <w:t xml:space="preserve">size (determined by dividing </w:t>
      </w:r>
      <w:r w:rsidR="00062504">
        <w:rPr>
          <w:rFonts w:eastAsiaTheme="minorHAnsi"/>
        </w:rPr>
        <w:t xml:space="preserve">the </w:t>
      </w:r>
      <w:r w:rsidR="000F139C">
        <w:rPr>
          <w:rFonts w:eastAsiaTheme="minorHAnsi"/>
        </w:rPr>
        <w:t>SBA Lender’s</w:t>
      </w:r>
      <w:r w:rsidR="000A332F">
        <w:rPr>
          <w:rFonts w:eastAsiaTheme="minorHAnsi"/>
        </w:rPr>
        <w:t xml:space="preserve"> gross dollars outstanding</w:t>
      </w:r>
      <w:r w:rsidR="000F139C">
        <w:rPr>
          <w:rFonts w:eastAsiaTheme="minorHAnsi"/>
        </w:rPr>
        <w:t xml:space="preserve"> by the number</w:t>
      </w:r>
      <w:r w:rsidRPr="005C74C5">
        <w:rPr>
          <w:rFonts w:eastAsiaTheme="minorHAnsi"/>
        </w:rPr>
        <w:t xml:space="preserve"> of </w:t>
      </w:r>
      <w:r w:rsidR="002D02CE">
        <w:rPr>
          <w:rFonts w:eastAsiaTheme="minorHAnsi"/>
        </w:rPr>
        <w:t xml:space="preserve">7(a) </w:t>
      </w:r>
      <w:r w:rsidR="000F139C">
        <w:rPr>
          <w:rFonts w:eastAsiaTheme="minorHAnsi"/>
        </w:rPr>
        <w:t>loans outstanding</w:t>
      </w:r>
      <w:r w:rsidR="00062504">
        <w:rPr>
          <w:rFonts w:eastAsiaTheme="minorHAnsi"/>
        </w:rPr>
        <w:t>)</w:t>
      </w:r>
      <w:r w:rsidR="000F139C">
        <w:rPr>
          <w:rFonts w:eastAsiaTheme="minorHAnsi"/>
        </w:rPr>
        <w:t xml:space="preserve"> if</w:t>
      </w:r>
      <w:r>
        <w:t xml:space="preserve"> the SBA Lender’s gross dollars outstanding </w:t>
      </w:r>
      <w:r w:rsidR="007B2E02">
        <w:t xml:space="preserve">for </w:t>
      </w:r>
      <w:r w:rsidR="00062504">
        <w:t>its a</w:t>
      </w:r>
      <w:r w:rsidR="007B2E02">
        <w:t xml:space="preserve">ctive loans </w:t>
      </w:r>
      <w:r>
        <w:t>is less than</w:t>
      </w:r>
      <w:r w:rsidR="000A332F">
        <w:t xml:space="preserve"> </w:t>
      </w:r>
      <w:r>
        <w:t>$</w:t>
      </w:r>
      <w:r w:rsidR="000A332F">
        <w:t>10</w:t>
      </w:r>
      <w:r>
        <w:t xml:space="preserve"> million</w:t>
      </w:r>
      <w:r w:rsidR="00B7450C">
        <w:t>.</w:t>
      </w:r>
    </w:p>
    <w:p w:rsidR="00821CAC" w:rsidRDefault="00796DB2">
      <w:pPr>
        <w:pStyle w:val="Style1"/>
        <w:numPr>
          <w:ilvl w:val="0"/>
          <w:numId w:val="7"/>
        </w:numPr>
        <w:spacing w:line="360" w:lineRule="auto"/>
      </w:pPr>
      <w:r>
        <w:t xml:space="preserve">In addition to the initial deposit, </w:t>
      </w:r>
      <w:r w:rsidR="00EE0585" w:rsidRPr="005C74C5">
        <w:t>the SBA Lender will be required</w:t>
      </w:r>
      <w:r w:rsidR="005A1C18">
        <w:t xml:space="preserve"> to deposit</w:t>
      </w:r>
      <w:r>
        <w:t xml:space="preserve"> a Reserve Amount</w:t>
      </w:r>
      <w:r w:rsidR="00175D2E" w:rsidRPr="00175D2E">
        <w:rPr>
          <w:rFonts w:cs="Arial"/>
        </w:rPr>
        <w:t xml:space="preserve"> </w:t>
      </w:r>
      <w:r w:rsidR="00175D2E">
        <w:rPr>
          <w:rFonts w:cs="Arial"/>
        </w:rPr>
        <w:t xml:space="preserve">for each sale of </w:t>
      </w:r>
      <w:r w:rsidR="00B7450C">
        <w:rPr>
          <w:rFonts w:cs="Arial"/>
        </w:rPr>
        <w:t xml:space="preserve">a </w:t>
      </w:r>
      <w:r w:rsidR="00175D2E">
        <w:rPr>
          <w:rFonts w:cs="Arial"/>
        </w:rPr>
        <w:t xml:space="preserve">Guaranteed Portion in the </w:t>
      </w:r>
      <w:r w:rsidR="007D425C">
        <w:rPr>
          <w:rFonts w:cs="Arial"/>
        </w:rPr>
        <w:t>Secondary Market</w:t>
      </w:r>
      <w:r>
        <w:t xml:space="preserve">. </w:t>
      </w:r>
      <w:r w:rsidR="00EE0585" w:rsidRPr="005C74C5">
        <w:t xml:space="preserve"> </w:t>
      </w:r>
      <w:r w:rsidRPr="0008556C">
        <w:rPr>
          <w:rFonts w:cs="Arial"/>
        </w:rPr>
        <w:t xml:space="preserve">The Reserve Amount </w:t>
      </w:r>
      <w:r w:rsidR="00175D2E">
        <w:rPr>
          <w:rFonts w:cs="Arial"/>
        </w:rPr>
        <w:t>equals</w:t>
      </w:r>
      <w:r w:rsidRPr="0008556C">
        <w:rPr>
          <w:rFonts w:cs="Arial"/>
        </w:rPr>
        <w:t xml:space="preserve"> the total </w:t>
      </w:r>
      <w:r>
        <w:rPr>
          <w:rFonts w:cs="Arial"/>
        </w:rPr>
        <w:t xml:space="preserve">gross </w:t>
      </w:r>
      <w:r w:rsidRPr="0008556C">
        <w:rPr>
          <w:rFonts w:cs="Arial"/>
        </w:rPr>
        <w:t xml:space="preserve">dollar amount of </w:t>
      </w:r>
      <w:r>
        <w:rPr>
          <w:rFonts w:cs="Arial"/>
        </w:rPr>
        <w:t xml:space="preserve">the Guaranteed Portions </w:t>
      </w:r>
      <w:r w:rsidRPr="0008556C">
        <w:rPr>
          <w:rFonts w:cs="Arial"/>
        </w:rPr>
        <w:t>to be sold</w:t>
      </w:r>
      <w:r w:rsidR="00175D2E">
        <w:rPr>
          <w:rFonts w:cs="Arial"/>
        </w:rPr>
        <w:t>,</w:t>
      </w:r>
      <w:r w:rsidRPr="0008556C">
        <w:rPr>
          <w:rFonts w:cs="Arial"/>
        </w:rPr>
        <w:t xml:space="preserve"> </w:t>
      </w:r>
      <w:r>
        <w:t xml:space="preserve">multiplied by </w:t>
      </w:r>
      <w:r w:rsidR="00411DC9" w:rsidRPr="00411DC9">
        <w:t>the greater of (a) SBA's overall 7(a) Loan guarantee repair</w:t>
      </w:r>
      <w:r w:rsidR="00B7550C">
        <w:t>/</w:t>
      </w:r>
      <w:r w:rsidR="00411DC9" w:rsidRPr="00411DC9">
        <w:t xml:space="preserve">denial rate as calculated </w:t>
      </w:r>
      <w:r w:rsidR="007B2E02">
        <w:t xml:space="preserve">by SBA </w:t>
      </w:r>
      <w:r w:rsidR="00411DC9" w:rsidRPr="00411DC9">
        <w:t xml:space="preserve">for the most recent available quarter or (b) the SBA Lender's 7(a) Loan </w:t>
      </w:r>
      <w:r w:rsidR="000A332F">
        <w:t xml:space="preserve">guarantee </w:t>
      </w:r>
      <w:r w:rsidR="00411DC9" w:rsidRPr="00411DC9">
        <w:t xml:space="preserve">repair/denial rate as calculated </w:t>
      </w:r>
      <w:r w:rsidR="007B2E02">
        <w:t>by SBA</w:t>
      </w:r>
      <w:r w:rsidR="00411DC9" w:rsidRPr="00411DC9">
        <w:t xml:space="preserve"> for the most recent available quarter.  </w:t>
      </w:r>
    </w:p>
    <w:p w:rsidR="00C66AD1" w:rsidRDefault="00BD021C" w:rsidP="004C6F5A">
      <w:pPr>
        <w:pStyle w:val="Style1"/>
        <w:spacing w:line="360" w:lineRule="auto"/>
        <w:ind w:left="360"/>
      </w:pPr>
      <w:r>
        <w:t>Please note, SBA may</w:t>
      </w:r>
      <w:r w:rsidR="007426D2">
        <w:t>,</w:t>
      </w:r>
      <w:r>
        <w:t xml:space="preserve"> on a case by case basis</w:t>
      </w:r>
      <w:r w:rsidR="00F06023">
        <w:t>,</w:t>
      </w:r>
      <w:r>
        <w:t xml:space="preserve"> in its discretion</w:t>
      </w:r>
      <w:r w:rsidR="009409B5">
        <w:t>,</w:t>
      </w:r>
      <w:r>
        <w:t xml:space="preserve"> request a greater </w:t>
      </w:r>
      <w:r w:rsidR="00986F5C">
        <w:t>R</w:t>
      </w:r>
      <w:r>
        <w:t xml:space="preserve">eserve </w:t>
      </w:r>
      <w:r w:rsidR="00986F5C">
        <w:t>A</w:t>
      </w:r>
      <w:r>
        <w:t xml:space="preserve">mount, </w:t>
      </w:r>
      <w:r w:rsidR="009409B5">
        <w:t xml:space="preserve">request </w:t>
      </w:r>
      <w:r>
        <w:t>other financial</w:t>
      </w:r>
      <w:r w:rsidR="00B7450C">
        <w:t xml:space="preserve"> assurances</w:t>
      </w:r>
      <w:r w:rsidR="009B0DD6">
        <w:t xml:space="preserve"> or other oversight measures, </w:t>
      </w:r>
      <w:r w:rsidR="00B7450C">
        <w:t xml:space="preserve">or not approve </w:t>
      </w:r>
      <w:r w:rsidR="007D425C">
        <w:t>Secondary Market</w:t>
      </w:r>
      <w:r w:rsidR="00B7450C">
        <w:t xml:space="preserve"> s</w:t>
      </w:r>
      <w:r>
        <w:t>ale</w:t>
      </w:r>
      <w:r w:rsidR="00B7450C">
        <w:t>s</w:t>
      </w:r>
      <w:r w:rsidR="009409B5">
        <w:t>,</w:t>
      </w:r>
      <w:r>
        <w:t xml:space="preserve"> given the risk, compliance, or other </w:t>
      </w:r>
      <w:r w:rsidR="009409B5">
        <w:t xml:space="preserve">regulatory </w:t>
      </w:r>
      <w:r>
        <w:t xml:space="preserve">concerns of a particular situation.  </w:t>
      </w:r>
    </w:p>
    <w:p w:rsidR="000C62A1" w:rsidRDefault="000C62A1" w:rsidP="000C62A1">
      <w:pPr>
        <w:pStyle w:val="Style1"/>
        <w:spacing w:line="360" w:lineRule="auto"/>
        <w:ind w:firstLine="720"/>
        <w:rPr>
          <w:rFonts w:cs="Arial"/>
        </w:rPr>
      </w:pPr>
      <w:r>
        <w:t>T</w:t>
      </w:r>
      <w:r>
        <w:rPr>
          <w:rFonts w:cs="Arial"/>
        </w:rPr>
        <w:t>he SBA Lender</w:t>
      </w:r>
      <w:r w:rsidRPr="0008556C">
        <w:rPr>
          <w:rFonts w:cs="Arial"/>
        </w:rPr>
        <w:t xml:space="preserve"> may </w:t>
      </w:r>
      <w:r>
        <w:rPr>
          <w:rFonts w:cs="Arial"/>
        </w:rPr>
        <w:t xml:space="preserve">not </w:t>
      </w:r>
      <w:r w:rsidRPr="0008556C">
        <w:rPr>
          <w:rFonts w:cs="Arial"/>
        </w:rPr>
        <w:t xml:space="preserve">sell </w:t>
      </w:r>
      <w:r>
        <w:rPr>
          <w:rFonts w:cs="Arial"/>
        </w:rPr>
        <w:t xml:space="preserve">a </w:t>
      </w:r>
      <w:r w:rsidRPr="0008556C">
        <w:rPr>
          <w:rFonts w:cs="Arial"/>
        </w:rPr>
        <w:t>Guaranteed Portion on the Secondary Market</w:t>
      </w:r>
      <w:r>
        <w:rPr>
          <w:rFonts w:cs="Arial"/>
        </w:rPr>
        <w:t xml:space="preserve"> if:</w:t>
      </w:r>
      <w:r w:rsidRPr="0008556C">
        <w:rPr>
          <w:rFonts w:cs="Arial"/>
        </w:rPr>
        <w:t xml:space="preserve"> (i</w:t>
      </w:r>
      <w:r w:rsidRPr="001D74FB">
        <w:rPr>
          <w:rFonts w:cs="Arial"/>
        </w:rPr>
        <w:t xml:space="preserve">) </w:t>
      </w:r>
      <w:r>
        <w:rPr>
          <w:rFonts w:cs="Arial"/>
        </w:rPr>
        <w:t xml:space="preserve">any payment of principal or interest has been past due (one payment cycle late) or deferred on the </w:t>
      </w:r>
      <w:r>
        <w:rPr>
          <w:rFonts w:cs="Arial"/>
        </w:rPr>
        <w:lastRenderedPageBreak/>
        <w:t xml:space="preserve">7(a) Loan during the six month period prior to the sale date; (ii) </w:t>
      </w:r>
      <w:r w:rsidRPr="0008556C">
        <w:rPr>
          <w:rFonts w:cs="Arial"/>
        </w:rPr>
        <w:t xml:space="preserve">at the time of the sale, the borrower is </w:t>
      </w:r>
      <w:r>
        <w:rPr>
          <w:rFonts w:cs="Arial"/>
        </w:rPr>
        <w:t xml:space="preserve">not </w:t>
      </w:r>
      <w:r w:rsidRPr="0008556C">
        <w:rPr>
          <w:rFonts w:cs="Arial"/>
        </w:rPr>
        <w:t xml:space="preserve">making payments as scheduled under the </w:t>
      </w:r>
      <w:r>
        <w:rPr>
          <w:rFonts w:cs="Arial"/>
        </w:rPr>
        <w:t xml:space="preserve">original </w:t>
      </w:r>
      <w:r w:rsidRPr="0008556C">
        <w:rPr>
          <w:rFonts w:cs="Arial"/>
        </w:rPr>
        <w:t>terms of the 7(a) Loan note (for the Guaranteed Portion)</w:t>
      </w:r>
      <w:r>
        <w:rPr>
          <w:rFonts w:cs="Arial"/>
        </w:rPr>
        <w:t>;</w:t>
      </w:r>
      <w:r w:rsidRPr="0008556C">
        <w:rPr>
          <w:rFonts w:cs="Arial"/>
        </w:rPr>
        <w:t xml:space="preserve"> </w:t>
      </w:r>
      <w:r>
        <w:rPr>
          <w:rFonts w:cs="Arial"/>
        </w:rPr>
        <w:t xml:space="preserve">or </w:t>
      </w:r>
      <w:r w:rsidRPr="0008556C">
        <w:rPr>
          <w:rFonts w:cs="Arial"/>
        </w:rPr>
        <w:t>(</w:t>
      </w:r>
      <w:r>
        <w:rPr>
          <w:rFonts w:cs="Arial"/>
        </w:rPr>
        <w:t>iii</w:t>
      </w:r>
      <w:r w:rsidRPr="0008556C">
        <w:rPr>
          <w:rFonts w:cs="Arial"/>
        </w:rPr>
        <w:t xml:space="preserve">) the Guaranteed Portion to be sold is part of a 7(a) Loan that is classified by </w:t>
      </w:r>
      <w:r>
        <w:rPr>
          <w:rFonts w:cs="Arial"/>
        </w:rPr>
        <w:t>SBA Lender</w:t>
      </w:r>
      <w:r w:rsidRPr="0008556C">
        <w:rPr>
          <w:rFonts w:cs="Arial"/>
        </w:rPr>
        <w:t xml:space="preserve"> as special mention, substandard, doubtful or loss </w:t>
      </w:r>
      <w:r>
        <w:rPr>
          <w:rFonts w:cs="Arial"/>
        </w:rPr>
        <w:t>or</w:t>
      </w:r>
      <w:r w:rsidRPr="0008556C">
        <w:rPr>
          <w:rFonts w:cs="Arial"/>
        </w:rPr>
        <w:t xml:space="preserve"> has been restructured.  </w:t>
      </w:r>
    </w:p>
    <w:p w:rsidR="002369E4" w:rsidRDefault="004C6F5A">
      <w:pPr>
        <w:pStyle w:val="Style1"/>
        <w:spacing w:line="360" w:lineRule="auto"/>
        <w:ind w:firstLine="720"/>
      </w:pPr>
      <w:r w:rsidRPr="004C6F5A">
        <w:t xml:space="preserve">For </w:t>
      </w:r>
      <w:r w:rsidR="0029794C">
        <w:t xml:space="preserve">any </w:t>
      </w:r>
      <w:r w:rsidRPr="004C6F5A">
        <w:t xml:space="preserve">loan </w:t>
      </w:r>
      <w:r w:rsidR="00CD4164">
        <w:t xml:space="preserve">with a final disbursement </w:t>
      </w:r>
      <w:r w:rsidRPr="004C6F5A">
        <w:t xml:space="preserve">less than six months </w:t>
      </w:r>
      <w:r w:rsidR="0029794C">
        <w:t>prior to the date of sale</w:t>
      </w:r>
      <w:r w:rsidRPr="004C6F5A">
        <w:t>, t</w:t>
      </w:r>
      <w:r w:rsidR="003A4C0E" w:rsidRPr="004C6F5A">
        <w:t xml:space="preserve">he </w:t>
      </w:r>
      <w:r w:rsidR="00DA516F" w:rsidRPr="004C6F5A">
        <w:t xml:space="preserve">SBA Lender </w:t>
      </w:r>
      <w:r w:rsidR="003A4C0E" w:rsidRPr="004C6F5A">
        <w:t xml:space="preserve">may not sell </w:t>
      </w:r>
      <w:r w:rsidR="0029794C">
        <w:t>the</w:t>
      </w:r>
      <w:r w:rsidR="003A4C0E" w:rsidRPr="004C6F5A">
        <w:t xml:space="preserve"> </w:t>
      </w:r>
      <w:r w:rsidRPr="004C6F5A">
        <w:t>Guaranteed</w:t>
      </w:r>
      <w:r w:rsidR="003A4C0E" w:rsidRPr="004C6F5A">
        <w:t xml:space="preserve"> Por</w:t>
      </w:r>
      <w:r w:rsidRPr="004C6F5A">
        <w:t xml:space="preserve">tion </w:t>
      </w:r>
      <w:r w:rsidR="000C62A1">
        <w:t xml:space="preserve">of that loan </w:t>
      </w:r>
      <w:r w:rsidRPr="004C6F5A">
        <w:t xml:space="preserve">on the Secondary Market if the </w:t>
      </w:r>
      <w:r>
        <w:t>SBA Lender</w:t>
      </w:r>
      <w:r w:rsidR="0029794C">
        <w:t>’</w:t>
      </w:r>
      <w:r>
        <w:t xml:space="preserve">s 7(a) loan portfolio </w:t>
      </w:r>
      <w:r w:rsidR="00D63584" w:rsidRPr="004C6F5A">
        <w:t xml:space="preserve">exceeds </w:t>
      </w:r>
      <w:r w:rsidR="00011449">
        <w:t xml:space="preserve">any </w:t>
      </w:r>
      <w:r w:rsidR="00D63584" w:rsidRPr="004C6F5A">
        <w:t xml:space="preserve">two </w:t>
      </w:r>
      <w:r w:rsidR="00D63584">
        <w:t xml:space="preserve">of the following </w:t>
      </w:r>
      <w:r w:rsidR="000E2EFF">
        <w:t>performance indicators</w:t>
      </w:r>
      <w:r w:rsidR="00D63584">
        <w:t xml:space="preserve"> </w:t>
      </w:r>
      <w:r w:rsidR="000E2EFF">
        <w:t xml:space="preserve">(included in the Loan and Lender Monitoring System) </w:t>
      </w:r>
      <w:r w:rsidR="00D63584">
        <w:t xml:space="preserve">by </w:t>
      </w:r>
      <w:r w:rsidR="00D63584" w:rsidRPr="004C6F5A">
        <w:t xml:space="preserve">one and one-half </w:t>
      </w:r>
      <w:r w:rsidR="00011449">
        <w:t xml:space="preserve">(1.5) </w:t>
      </w:r>
      <w:r w:rsidR="00D63584" w:rsidRPr="004C6F5A">
        <w:t>times the average for the overall 7(a) portfolio</w:t>
      </w:r>
      <w:r w:rsidRPr="004C6F5A">
        <w:t>.  The performance indicators are early default rate, past due rate, delinquency rate, liquidation ra</w:t>
      </w:r>
      <w:r w:rsidR="00D63584">
        <w:t xml:space="preserve">te and 12 month purchase rate, as calculated by SBA.  </w:t>
      </w:r>
      <w:r w:rsidR="00CD4164">
        <w:t xml:space="preserve">On a monthly basis </w:t>
      </w:r>
      <w:r w:rsidR="00D63584">
        <w:t xml:space="preserve">SBA will provide these indicators </w:t>
      </w:r>
      <w:r w:rsidR="00011449">
        <w:t xml:space="preserve">(both lender-specific and overall 7(a) portfolio) </w:t>
      </w:r>
      <w:r w:rsidR="00D63584">
        <w:t>to the SBA Lender</w:t>
      </w:r>
      <w:r w:rsidR="00CD4164">
        <w:t>s that have entered into Reserve Account Agreements with SBA</w:t>
      </w:r>
      <w:r w:rsidR="00D63584">
        <w:t xml:space="preserve"> .  </w:t>
      </w:r>
      <w:r w:rsidR="000E2EFF">
        <w:t xml:space="preserve">If the </w:t>
      </w:r>
      <w:r w:rsidR="0029794C">
        <w:t xml:space="preserve">performance requirement is triggered, the SBA Lender may not sell the </w:t>
      </w:r>
      <w:r w:rsidR="000C62A1">
        <w:t>G</w:t>
      </w:r>
      <w:r w:rsidR="0029794C">
        <w:t xml:space="preserve">uaranteed </w:t>
      </w:r>
      <w:r w:rsidR="000C62A1">
        <w:t>P</w:t>
      </w:r>
      <w:r w:rsidR="0029794C">
        <w:t xml:space="preserve">ortion of a 7(a) loan on the </w:t>
      </w:r>
      <w:r w:rsidR="003D64C4">
        <w:t>S</w:t>
      </w:r>
      <w:r w:rsidR="0029794C">
        <w:t xml:space="preserve">econdary </w:t>
      </w:r>
      <w:r w:rsidR="003D64C4">
        <w:t>M</w:t>
      </w:r>
      <w:r w:rsidR="0029794C">
        <w:t xml:space="preserve">arket until </w:t>
      </w:r>
      <w:r w:rsidR="000C62A1">
        <w:t xml:space="preserve">at least </w:t>
      </w:r>
      <w:r w:rsidR="0029794C">
        <w:t xml:space="preserve">180 days from the date of </w:t>
      </w:r>
      <w:r w:rsidR="00CD4164">
        <w:t xml:space="preserve">final </w:t>
      </w:r>
      <w:r w:rsidR="0029794C">
        <w:t>disbursement</w:t>
      </w:r>
      <w:r w:rsidR="000C62A1">
        <w:t xml:space="preserve"> of the loan</w:t>
      </w:r>
      <w:r w:rsidR="0029794C">
        <w:t xml:space="preserve">.  Once the performance requirement is triggered, it will remain in effect for three months after the date the performance metrics have returned to acceptable levels.  </w:t>
      </w:r>
      <w:r w:rsidR="002369E4">
        <w:t>Late</w:t>
      </w:r>
      <w:r w:rsidR="0029794C">
        <w:t xml:space="preserve"> reporting </w:t>
      </w:r>
      <w:r w:rsidR="000C62A1">
        <w:t xml:space="preserve">of loan performance data by the SBA Lender </w:t>
      </w:r>
      <w:r w:rsidR="0029794C">
        <w:t>may result in a permanent requirement for 7(a) loans to be seasoned for six months prior to sale</w:t>
      </w:r>
      <w:r w:rsidR="00433AEA">
        <w:t xml:space="preserve"> </w:t>
      </w:r>
      <w:r w:rsidR="00433AEA">
        <w:rPr>
          <w:color w:val="000000"/>
        </w:rPr>
        <w:t>or other remedial action as SBA deems appropriate</w:t>
      </w:r>
      <w:r w:rsidR="0029794C">
        <w:t xml:space="preserve">.    </w:t>
      </w:r>
    </w:p>
    <w:p w:rsidR="00C66AD1" w:rsidRDefault="00EE0585">
      <w:pPr>
        <w:pStyle w:val="Style1"/>
        <w:spacing w:line="360" w:lineRule="auto"/>
        <w:ind w:firstLine="720"/>
      </w:pPr>
      <w:r w:rsidRPr="005C74C5">
        <w:t>SBA recognizes that th</w:t>
      </w:r>
      <w:r w:rsidR="005B2D29">
        <w:t>e establishment of the reserve</w:t>
      </w:r>
      <w:r w:rsidRPr="005C74C5">
        <w:t xml:space="preserve"> may affect the timing of negotiated loan settlements and </w:t>
      </w:r>
      <w:r w:rsidR="007D425C">
        <w:t>Secondary Market</w:t>
      </w:r>
      <w:r w:rsidRPr="005C74C5">
        <w:t xml:space="preserve"> sales. Therefore, if an SBA </w:t>
      </w:r>
      <w:r w:rsidR="003E7269">
        <w:t>L</w:t>
      </w:r>
      <w:r w:rsidRPr="005C74C5">
        <w:t xml:space="preserve">ender is subject to </w:t>
      </w:r>
      <w:r w:rsidR="00F74EEF">
        <w:t xml:space="preserve">any one or more of the four Actions defined above, </w:t>
      </w:r>
      <w:r w:rsidRPr="005C74C5">
        <w:t xml:space="preserve">and </w:t>
      </w:r>
      <w:r w:rsidR="007B2E02">
        <w:t>seeks</w:t>
      </w:r>
      <w:r w:rsidRPr="005C74C5">
        <w:t xml:space="preserve"> to sell loans into the </w:t>
      </w:r>
      <w:r w:rsidR="007D425C">
        <w:t>Secondary Market</w:t>
      </w:r>
      <w:r w:rsidRPr="005C74C5">
        <w:t>, it must notify SBA within five business days (or as soon as practicable thereafter) of the issuance of the action or opinion, or immediately if pre-existing</w:t>
      </w:r>
      <w:r w:rsidR="005F4A37">
        <w:t xml:space="preserve">.  </w:t>
      </w:r>
    </w:p>
    <w:p w:rsidR="00C66AD1" w:rsidRDefault="007B2E02">
      <w:pPr>
        <w:pStyle w:val="Style1"/>
        <w:spacing w:line="360" w:lineRule="auto"/>
        <w:ind w:firstLine="720"/>
      </w:pPr>
      <w:r>
        <w:t xml:space="preserve">In conclusion, beginning </w:t>
      </w:r>
      <w:r w:rsidR="0029794C">
        <w:t>June 30</w:t>
      </w:r>
      <w:r w:rsidR="002D02CE">
        <w:t>, 2011</w:t>
      </w:r>
      <w:r>
        <w:t xml:space="preserve">, </w:t>
      </w:r>
      <w:r w:rsidR="00062504">
        <w:t>each</w:t>
      </w:r>
      <w:r w:rsidR="002B3F88">
        <w:t xml:space="preserve"> </w:t>
      </w:r>
      <w:r w:rsidR="00662F7C">
        <w:t>SBA Lender</w:t>
      </w:r>
      <w:r w:rsidR="00B7450C">
        <w:t xml:space="preserve"> subject to </w:t>
      </w:r>
      <w:r w:rsidR="003C641E">
        <w:t xml:space="preserve">any of the four Actions </w:t>
      </w:r>
      <w:r w:rsidR="003D64C4">
        <w:t xml:space="preserve">must </w:t>
      </w:r>
      <w:r w:rsidR="00B7450C">
        <w:t xml:space="preserve">have a fully executed Agreement and </w:t>
      </w:r>
      <w:r w:rsidR="003D64C4">
        <w:t xml:space="preserve">a </w:t>
      </w:r>
      <w:r w:rsidR="00B7450C">
        <w:t xml:space="preserve">Reserve Account established </w:t>
      </w:r>
      <w:r>
        <w:t xml:space="preserve">in accordance with the Agreement </w:t>
      </w:r>
      <w:r w:rsidR="003D64C4">
        <w:t xml:space="preserve">in order </w:t>
      </w:r>
      <w:r w:rsidR="00B7450C">
        <w:t>to sell Guaranteed Portion</w:t>
      </w:r>
      <w:r w:rsidR="003C641E">
        <w:t>s</w:t>
      </w:r>
      <w:r w:rsidR="00B7450C">
        <w:t xml:space="preserve"> into the </w:t>
      </w:r>
      <w:r w:rsidR="007D425C">
        <w:t>Secondary Market</w:t>
      </w:r>
      <w:r w:rsidR="00B7450C">
        <w:t xml:space="preserve">.  The Office of Credit Risk Management will immediately begin working with </w:t>
      </w:r>
      <w:r w:rsidR="00646576">
        <w:t>SBA L</w:t>
      </w:r>
      <w:r w:rsidR="00B7450C">
        <w:t xml:space="preserve">enders subject to </w:t>
      </w:r>
      <w:r w:rsidR="00646576">
        <w:t xml:space="preserve">these </w:t>
      </w:r>
      <w:r w:rsidR="007D425C">
        <w:t>Secondary Market</w:t>
      </w:r>
      <w:r w:rsidR="00B7450C">
        <w:t xml:space="preserve"> </w:t>
      </w:r>
      <w:r w:rsidR="00646576">
        <w:t>procedures</w:t>
      </w:r>
      <w:r w:rsidR="00B7450C">
        <w:t xml:space="preserve"> to put the Agreement and Reserve Account in place.  </w:t>
      </w:r>
      <w:r w:rsidR="009B0DD6">
        <w:t xml:space="preserve">SBA encourages SBA Lenders to begin this process as soon as practicable if they intend to sell a Guaranteed Portion in the Secondary Market in the near future.  </w:t>
      </w:r>
    </w:p>
    <w:p w:rsidR="00EE0585" w:rsidRDefault="00633E65" w:rsidP="00EE0585">
      <w:pPr>
        <w:pStyle w:val="Style1"/>
        <w:spacing w:line="360" w:lineRule="auto"/>
        <w:ind w:firstLine="720"/>
      </w:pPr>
      <w:r>
        <w:lastRenderedPageBreak/>
        <w:t>Q</w:t>
      </w:r>
      <w:r w:rsidR="00EE0585" w:rsidRPr="005C74C5">
        <w:t xml:space="preserve">uestions on this </w:t>
      </w:r>
      <w:r w:rsidR="00062504">
        <w:t>N</w:t>
      </w:r>
      <w:r w:rsidR="00EE0585" w:rsidRPr="005C74C5">
        <w:t xml:space="preserve">otice may </w:t>
      </w:r>
      <w:r>
        <w:t xml:space="preserve">be directed </w:t>
      </w:r>
      <w:r w:rsidR="00EE0585" w:rsidRPr="005C74C5">
        <w:t xml:space="preserve">to </w:t>
      </w:r>
      <w:r w:rsidR="005F4A37">
        <w:t xml:space="preserve">the Office of Credit Risk Management </w:t>
      </w:r>
      <w:r w:rsidR="00EE0585" w:rsidRPr="005C74C5">
        <w:t xml:space="preserve">via </w:t>
      </w:r>
      <w:r w:rsidR="00E44F13">
        <w:t>phone at (202) 205-3049.</w:t>
      </w:r>
      <w:r w:rsidR="005C6A72">
        <w:t xml:space="preserve"> </w:t>
      </w:r>
    </w:p>
    <w:p w:rsidR="00004D25" w:rsidRDefault="00004D25" w:rsidP="00EE0585">
      <w:pPr>
        <w:pStyle w:val="Style1"/>
      </w:pPr>
    </w:p>
    <w:p w:rsidR="00EE0585" w:rsidRDefault="00EE0585" w:rsidP="00EE0585">
      <w:pPr>
        <w:pStyle w:val="Style1"/>
      </w:pPr>
      <w:r>
        <w:t xml:space="preserve">_____________________ </w:t>
      </w:r>
    </w:p>
    <w:p w:rsidR="00EE0585" w:rsidRPr="00265F82" w:rsidRDefault="00EE0585" w:rsidP="00EE0585">
      <w:pPr>
        <w:pStyle w:val="Style1"/>
      </w:pPr>
      <w:r w:rsidRPr="00265F82">
        <w:t>Janet A. Tasker</w:t>
      </w:r>
    </w:p>
    <w:p w:rsidR="00EE0585" w:rsidRPr="00265F82" w:rsidRDefault="00EE0585" w:rsidP="00EE0585">
      <w:pPr>
        <w:pStyle w:val="Style1"/>
      </w:pPr>
      <w:r w:rsidRPr="00265F82">
        <w:t>Director</w:t>
      </w:r>
    </w:p>
    <w:p w:rsidR="00BB3571" w:rsidRDefault="00EE0585" w:rsidP="00EE0585">
      <w:pPr>
        <w:rPr>
          <w:sz w:val="24"/>
          <w:szCs w:val="24"/>
        </w:rPr>
      </w:pPr>
      <w:r w:rsidRPr="00265F82">
        <w:rPr>
          <w:sz w:val="24"/>
          <w:szCs w:val="24"/>
        </w:rPr>
        <w:t xml:space="preserve">Office of Risk Management   </w:t>
      </w:r>
    </w:p>
    <w:p w:rsidR="005B0A27" w:rsidRPr="00BB3571" w:rsidRDefault="005B0A27" w:rsidP="001164E0">
      <w:pPr>
        <w:rPr>
          <w:sz w:val="24"/>
          <w:szCs w:val="24"/>
          <w:u w:val="single"/>
        </w:rPr>
      </w:pPr>
    </w:p>
    <w:sectPr w:rsidR="005B0A27" w:rsidRPr="00BB3571" w:rsidSect="00BC10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31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24E" w:rsidRDefault="0068224E">
      <w:r>
        <w:separator/>
      </w:r>
    </w:p>
  </w:endnote>
  <w:endnote w:type="continuationSeparator" w:id="0">
    <w:p w:rsidR="0068224E" w:rsidRDefault="0068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584" w:rsidRDefault="00D63584">
    <w:pPr>
      <w:pBdr>
        <w:top w:val="single" w:sz="6" w:space="1" w:color="auto"/>
      </w:pBdr>
      <w:tabs>
        <w:tab w:val="right" w:pos="8370"/>
        <w:tab w:val="right" w:pos="9270"/>
      </w:tabs>
      <w:spacing w:before="120"/>
      <w:rPr>
        <w:rStyle w:val="PageNumber"/>
      </w:rPr>
    </w:pPr>
    <w:r>
      <w:rPr>
        <w:rStyle w:val="PageNumber"/>
      </w:rPr>
      <w:t xml:space="preserve">PAGE </w:t>
    </w:r>
    <w:r w:rsidR="00861A1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61A19">
      <w:rPr>
        <w:rStyle w:val="PageNumber"/>
      </w:rPr>
      <w:fldChar w:fldCharType="separate"/>
    </w:r>
    <w:r w:rsidR="00D97CB4">
      <w:rPr>
        <w:rStyle w:val="PageNumber"/>
        <w:noProof/>
      </w:rPr>
      <w:t>4</w:t>
    </w:r>
    <w:r w:rsidR="00861A19">
      <w:rPr>
        <w:rStyle w:val="PageNumber"/>
      </w:rPr>
      <w:fldChar w:fldCharType="end"/>
    </w:r>
    <w:r>
      <w:rPr>
        <w:rStyle w:val="PageNumber"/>
      </w:rPr>
      <w:t xml:space="preserve"> of </w:t>
    </w:r>
    <w:r w:rsidR="00861A19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861A19">
      <w:rPr>
        <w:rStyle w:val="PageNumber"/>
      </w:rPr>
      <w:fldChar w:fldCharType="separate"/>
    </w:r>
    <w:r w:rsidR="00D97CB4">
      <w:rPr>
        <w:rStyle w:val="PageNumber"/>
        <w:noProof/>
      </w:rPr>
      <w:t>4</w:t>
    </w:r>
    <w:r w:rsidR="00861A19">
      <w:rPr>
        <w:rStyle w:val="PageNumber"/>
      </w:rPr>
      <w:fldChar w:fldCharType="end"/>
    </w:r>
    <w:r>
      <w:rPr>
        <w:rStyle w:val="PageNumber"/>
      </w:rPr>
      <w:tab/>
      <w:t xml:space="preserve">EXPIRES: </w:t>
    </w:r>
    <w:r>
      <w:rPr>
        <w:rStyle w:val="PageNumber"/>
      </w:rPr>
      <w:tab/>
    </w:r>
    <w:bookmarkStart w:id="4" w:name="ExpOddPg"/>
    <w:r>
      <w:rPr>
        <w:rStyle w:val="PageNumber"/>
      </w:rPr>
      <w:t>xxx</w:t>
    </w:r>
    <w:bookmarkEnd w:id="4"/>
  </w:p>
  <w:p w:rsidR="00D63584" w:rsidRDefault="00D63584">
    <w:pPr>
      <w:pBdr>
        <w:top w:val="single" w:sz="6" w:space="1" w:color="auto"/>
      </w:pBdr>
      <w:tabs>
        <w:tab w:val="right" w:pos="8370"/>
        <w:tab w:val="right" w:pos="9270"/>
      </w:tabs>
      <w:spacing w:before="120"/>
      <w:rPr>
        <w:rFonts w:ascii="Arial" w:hAnsi="Arial"/>
      </w:rPr>
    </w:pPr>
    <w:r>
      <w:rPr>
        <w:rFonts w:ascii="Arial" w:hAnsi="Arial"/>
      </w:rPr>
      <w:t>SBA Form 1353.1 (12-93) MS Word Edition; previous editions obsolete</w:t>
    </w:r>
  </w:p>
  <w:p w:rsidR="00D63584" w:rsidRDefault="00D63584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180"/>
      </w:tabs>
      <w:rPr>
        <w:rFonts w:ascii="Arial" w:hAnsi="Arial"/>
      </w:rPr>
    </w:pPr>
    <w:r>
      <w:rPr>
        <w:rFonts w:ascii="Arial" w:hAnsi="Arial"/>
      </w:rPr>
      <w:t>Must be accompanied by SBA Form 58</w:t>
    </w:r>
  </w:p>
  <w:p w:rsidR="00D63584" w:rsidRDefault="00D63584">
    <w:pPr>
      <w:pStyle w:val="Footer"/>
      <w:tabs>
        <w:tab w:val="clear" w:pos="4320"/>
        <w:tab w:val="clear" w:pos="8640"/>
        <w:tab w:val="center" w:pos="5400"/>
      </w:tabs>
      <w:jc w:val="center"/>
    </w:pPr>
    <w:r>
      <w:rPr>
        <w:position w:val="8"/>
        <w:sz w:val="16"/>
        <w:vertAlign w:val="superscript"/>
      </w:rPr>
      <w:t>Federal Recyling Program</w:t>
    </w:r>
    <w:r>
      <w:rPr>
        <w:position w:val="6"/>
        <w:sz w:val="16"/>
        <w:vertAlign w:val="superscript"/>
      </w:rPr>
      <w:t xml:space="preserve"> </w:t>
    </w:r>
    <w:r w:rsidR="00861A1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.75pt;height:17.25pt" fillcolor="window">
          <v:imagedata r:id="rId1" o:title=""/>
        </v:shape>
      </w:pict>
    </w:r>
    <w:r w:rsidR="00861A19">
      <w:rPr>
        <w:noProof/>
      </w:rPr>
      <w:pict>
        <v:shape id="Picture 1" o:spid="_x0000_i1026" type="#_x0000_t75" style="width:18pt;height:17.25pt;visibility:visible;mso-wrap-style:square">
          <v:imagedata r:id="rId1" o:title=""/>
        </v:shape>
      </w:pict>
    </w:r>
    <w:r w:rsidR="00861A19">
      <w:pict>
        <v:shape id="_x0000_i1027" type="#_x0000_t75" style="width:17.25pt;height:17.25pt" fillcolor="window">
          <v:imagedata r:id="rId1" o:title=""/>
        </v:shape>
      </w:pict>
    </w:r>
    <w:r>
      <w:rPr>
        <w:position w:val="6"/>
        <w:sz w:val="16"/>
        <w:vertAlign w:val="superscript"/>
      </w:rPr>
      <w:t xml:space="preserve"> </w:t>
    </w:r>
    <w:r>
      <w:rPr>
        <w:position w:val="8"/>
        <w:sz w:val="16"/>
        <w:vertAlign w:val="superscript"/>
      </w:rPr>
      <w:t>Printed on Recycled Paper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584" w:rsidRDefault="00D63584">
    <w:pPr>
      <w:pBdr>
        <w:top w:val="single" w:sz="6" w:space="1" w:color="auto"/>
      </w:pBdr>
      <w:tabs>
        <w:tab w:val="left" w:pos="1080"/>
        <w:tab w:val="right" w:pos="9270"/>
      </w:tabs>
      <w:spacing w:before="120"/>
      <w:rPr>
        <w:rStyle w:val="PageNumber"/>
      </w:rPr>
    </w:pPr>
    <w:r>
      <w:rPr>
        <w:rStyle w:val="PageNumber"/>
      </w:rPr>
      <w:t xml:space="preserve">EXPIRES: </w:t>
    </w:r>
    <w:r w:rsidR="00D97CB4">
      <w:rPr>
        <w:rStyle w:val="PageNumber"/>
      </w:rPr>
      <w:t>4/1/2012</w:t>
    </w:r>
    <w:r>
      <w:rPr>
        <w:rStyle w:val="PageNumber"/>
      </w:rPr>
      <w:tab/>
      <w:t xml:space="preserve">PAGE </w:t>
    </w:r>
    <w:r w:rsidR="00861A1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61A19">
      <w:rPr>
        <w:rStyle w:val="PageNumber"/>
      </w:rPr>
      <w:fldChar w:fldCharType="separate"/>
    </w:r>
    <w:r w:rsidR="00D97CB4">
      <w:rPr>
        <w:rStyle w:val="PageNumber"/>
        <w:noProof/>
      </w:rPr>
      <w:t>1</w:t>
    </w:r>
    <w:r w:rsidR="00861A19">
      <w:rPr>
        <w:rStyle w:val="PageNumber"/>
      </w:rPr>
      <w:fldChar w:fldCharType="end"/>
    </w:r>
    <w:r>
      <w:rPr>
        <w:rStyle w:val="PageNumber"/>
      </w:rPr>
      <w:t xml:space="preserve"> of </w:t>
    </w:r>
    <w:r w:rsidR="00861A19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861A19">
      <w:rPr>
        <w:rStyle w:val="PageNumber"/>
      </w:rPr>
      <w:fldChar w:fldCharType="separate"/>
    </w:r>
    <w:r w:rsidR="00D97CB4">
      <w:rPr>
        <w:rStyle w:val="PageNumber"/>
        <w:noProof/>
      </w:rPr>
      <w:t>4</w:t>
    </w:r>
    <w:r w:rsidR="00861A19">
      <w:rPr>
        <w:rStyle w:val="PageNumber"/>
      </w:rPr>
      <w:fldChar w:fldCharType="end"/>
    </w:r>
  </w:p>
  <w:p w:rsidR="00D63584" w:rsidRDefault="00D63584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180"/>
      </w:tabs>
      <w:spacing w:before="120"/>
      <w:rPr>
        <w:rFonts w:ascii="Arial" w:hAnsi="Arial"/>
      </w:rPr>
    </w:pPr>
    <w:r>
      <w:rPr>
        <w:rFonts w:ascii="Arial" w:hAnsi="Arial"/>
      </w:rPr>
      <w:t>SBA Form 1353.1 (12-93) MS Word Edition; previous editions obsolete</w:t>
    </w:r>
  </w:p>
  <w:p w:rsidR="00D63584" w:rsidRDefault="00D63584">
    <w:pPr>
      <w:pStyle w:val="Footer"/>
      <w:pBdr>
        <w:top w:val="single" w:sz="6" w:space="1" w:color="auto"/>
      </w:pBdr>
      <w:tabs>
        <w:tab w:val="clear" w:pos="4320"/>
        <w:tab w:val="clear" w:pos="8640"/>
        <w:tab w:val="right" w:pos="9180"/>
      </w:tabs>
      <w:rPr>
        <w:rFonts w:ascii="Arial" w:hAnsi="Arial"/>
      </w:rPr>
    </w:pPr>
    <w:r>
      <w:rPr>
        <w:rFonts w:ascii="Arial" w:hAnsi="Arial"/>
      </w:rPr>
      <w:t>Must be accompanied by SBA Form 58</w:t>
    </w:r>
  </w:p>
  <w:p w:rsidR="00D63584" w:rsidRDefault="00D63584">
    <w:pPr>
      <w:pStyle w:val="Footer"/>
      <w:tabs>
        <w:tab w:val="clear" w:pos="4320"/>
        <w:tab w:val="clear" w:pos="8640"/>
        <w:tab w:val="center" w:pos="5400"/>
      </w:tabs>
      <w:jc w:val="center"/>
    </w:pPr>
    <w:r>
      <w:rPr>
        <w:position w:val="8"/>
        <w:sz w:val="16"/>
        <w:vertAlign w:val="superscript"/>
      </w:rPr>
      <w:t>Federal Recyling Program</w:t>
    </w:r>
    <w:r>
      <w:rPr>
        <w:position w:val="6"/>
        <w:sz w:val="16"/>
        <w:vertAlign w:val="superscript"/>
      </w:rPr>
      <w:t xml:space="preserve"> </w:t>
    </w:r>
    <w:r w:rsidR="00861A19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8.75pt;height:17.25pt" fillcolor="window">
          <v:imagedata r:id="rId1" o:title=""/>
        </v:shape>
      </w:pict>
    </w:r>
    <w:r w:rsidR="00861A19">
      <w:rPr>
        <w:noProof/>
      </w:rPr>
      <w:pict>
        <v:shape id="Picture 2" o:spid="_x0000_i1029" type="#_x0000_t75" style="width:18pt;height:17.25pt;visibility:visible;mso-wrap-style:square">
          <v:imagedata r:id="rId1" o:title=""/>
        </v:shape>
      </w:pict>
    </w:r>
    <w:r w:rsidR="00861A19">
      <w:pict>
        <v:shape id="_x0000_i1030" type="#_x0000_t75" style="width:17.25pt;height:17.25pt" fillcolor="window">
          <v:imagedata r:id="rId1" o:title=""/>
        </v:shape>
      </w:pict>
    </w:r>
    <w:r>
      <w:rPr>
        <w:position w:val="6"/>
        <w:sz w:val="16"/>
        <w:vertAlign w:val="superscript"/>
      </w:rPr>
      <w:t xml:space="preserve"> </w:t>
    </w:r>
    <w:r>
      <w:rPr>
        <w:position w:val="8"/>
        <w:sz w:val="16"/>
        <w:vertAlign w:val="superscript"/>
      </w:rPr>
      <w:t>Printed on Recycled Paper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CB4" w:rsidRDefault="00D97C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24E" w:rsidRDefault="0068224E">
      <w:r>
        <w:separator/>
      </w:r>
    </w:p>
  </w:footnote>
  <w:footnote w:type="continuationSeparator" w:id="0">
    <w:p w:rsidR="0068224E" w:rsidRDefault="0068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584" w:rsidRDefault="00D63584" w:rsidP="00BB3571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CB4" w:rsidRDefault="00D97CB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CB4" w:rsidRDefault="00D97C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8EA6692"/>
    <w:lvl w:ilvl="0">
      <w:numFmt w:val="bullet"/>
      <w:lvlText w:val="*"/>
      <w:lvlJc w:val="left"/>
    </w:lvl>
  </w:abstractNum>
  <w:abstractNum w:abstractNumId="1">
    <w:nsid w:val="034109B0"/>
    <w:multiLevelType w:val="hybridMultilevel"/>
    <w:tmpl w:val="CCE2A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61224"/>
    <w:multiLevelType w:val="hybridMultilevel"/>
    <w:tmpl w:val="214232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1B4F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D9765DA"/>
    <w:multiLevelType w:val="hybridMultilevel"/>
    <w:tmpl w:val="8284A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F179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25944C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7554E9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B3D34F5"/>
    <w:multiLevelType w:val="hybridMultilevel"/>
    <w:tmpl w:val="D4CAE3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C617A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61507BF0"/>
    <w:multiLevelType w:val="hybridMultilevel"/>
    <w:tmpl w:val="FB709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222C98"/>
    <w:multiLevelType w:val="hybridMultilevel"/>
    <w:tmpl w:val="0A942D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61324"/>
    <w:multiLevelType w:val="hybridMultilevel"/>
    <w:tmpl w:val="10E202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FC5A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10">
    <w:abstractNumId w:val="9"/>
  </w:num>
  <w:num w:numId="11">
    <w:abstractNumId w:val="10"/>
  </w:num>
  <w:num w:numId="12">
    <w:abstractNumId w:val="11"/>
  </w:num>
  <w:num w:numId="13">
    <w:abstractNumId w:val="2"/>
  </w:num>
  <w:num w:numId="14">
    <w:abstractNumId w:val="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8" w:dllVersion="513" w:checkStyle="1"/>
  <w:attachedTemplate r:id="rId1"/>
  <w:stylePaneFormatFilter w:val="3F01"/>
  <w:doNotTrackMoves/>
  <w:defaultTabStop w:val="720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71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F82"/>
    <w:rsid w:val="000001E8"/>
    <w:rsid w:val="0000043B"/>
    <w:rsid w:val="000009BF"/>
    <w:rsid w:val="00001741"/>
    <w:rsid w:val="0000198E"/>
    <w:rsid w:val="0000330B"/>
    <w:rsid w:val="0000339F"/>
    <w:rsid w:val="0000427E"/>
    <w:rsid w:val="00004D25"/>
    <w:rsid w:val="00004E74"/>
    <w:rsid w:val="00007E02"/>
    <w:rsid w:val="00010762"/>
    <w:rsid w:val="00011449"/>
    <w:rsid w:val="00020359"/>
    <w:rsid w:val="000206E3"/>
    <w:rsid w:val="00025CF7"/>
    <w:rsid w:val="00027783"/>
    <w:rsid w:val="00027BD5"/>
    <w:rsid w:val="00030313"/>
    <w:rsid w:val="00031635"/>
    <w:rsid w:val="00031B53"/>
    <w:rsid w:val="000358FF"/>
    <w:rsid w:val="00036E57"/>
    <w:rsid w:val="00037D89"/>
    <w:rsid w:val="00043346"/>
    <w:rsid w:val="000448BB"/>
    <w:rsid w:val="0005315A"/>
    <w:rsid w:val="00054CA6"/>
    <w:rsid w:val="00056DAA"/>
    <w:rsid w:val="00057C61"/>
    <w:rsid w:val="000623ED"/>
    <w:rsid w:val="00062504"/>
    <w:rsid w:val="00062F62"/>
    <w:rsid w:val="00063AC9"/>
    <w:rsid w:val="00065B39"/>
    <w:rsid w:val="00066E77"/>
    <w:rsid w:val="000736AC"/>
    <w:rsid w:val="00073CB0"/>
    <w:rsid w:val="00073F77"/>
    <w:rsid w:val="000760FD"/>
    <w:rsid w:val="00076839"/>
    <w:rsid w:val="00080B8C"/>
    <w:rsid w:val="00081A25"/>
    <w:rsid w:val="0008386E"/>
    <w:rsid w:val="00086253"/>
    <w:rsid w:val="00086F3B"/>
    <w:rsid w:val="000910AD"/>
    <w:rsid w:val="00093933"/>
    <w:rsid w:val="00096A19"/>
    <w:rsid w:val="00097B5C"/>
    <w:rsid w:val="000A0176"/>
    <w:rsid w:val="000A0C88"/>
    <w:rsid w:val="000A332F"/>
    <w:rsid w:val="000A5090"/>
    <w:rsid w:val="000A53FA"/>
    <w:rsid w:val="000B008D"/>
    <w:rsid w:val="000B0DA0"/>
    <w:rsid w:val="000B0DCE"/>
    <w:rsid w:val="000B25A3"/>
    <w:rsid w:val="000B31B5"/>
    <w:rsid w:val="000B39F3"/>
    <w:rsid w:val="000B494B"/>
    <w:rsid w:val="000C0525"/>
    <w:rsid w:val="000C0D19"/>
    <w:rsid w:val="000C62A1"/>
    <w:rsid w:val="000C7407"/>
    <w:rsid w:val="000D0DD0"/>
    <w:rsid w:val="000D578F"/>
    <w:rsid w:val="000D657D"/>
    <w:rsid w:val="000D78C0"/>
    <w:rsid w:val="000E1E08"/>
    <w:rsid w:val="000E2009"/>
    <w:rsid w:val="000E2EFF"/>
    <w:rsid w:val="000E57F4"/>
    <w:rsid w:val="000E686E"/>
    <w:rsid w:val="000E74A5"/>
    <w:rsid w:val="000F139C"/>
    <w:rsid w:val="000F2E63"/>
    <w:rsid w:val="0010020D"/>
    <w:rsid w:val="00101577"/>
    <w:rsid w:val="001021F3"/>
    <w:rsid w:val="00111179"/>
    <w:rsid w:val="001164E0"/>
    <w:rsid w:val="00116D9F"/>
    <w:rsid w:val="001202FC"/>
    <w:rsid w:val="0013091D"/>
    <w:rsid w:val="00133617"/>
    <w:rsid w:val="001352C3"/>
    <w:rsid w:val="00135ECC"/>
    <w:rsid w:val="001362BC"/>
    <w:rsid w:val="00140BB4"/>
    <w:rsid w:val="001411B3"/>
    <w:rsid w:val="00142E94"/>
    <w:rsid w:val="00145024"/>
    <w:rsid w:val="00145277"/>
    <w:rsid w:val="00147033"/>
    <w:rsid w:val="00147A52"/>
    <w:rsid w:val="00152828"/>
    <w:rsid w:val="00154050"/>
    <w:rsid w:val="0015672B"/>
    <w:rsid w:val="00160035"/>
    <w:rsid w:val="00161C97"/>
    <w:rsid w:val="0016271A"/>
    <w:rsid w:val="00162A77"/>
    <w:rsid w:val="00163C02"/>
    <w:rsid w:val="00165B18"/>
    <w:rsid w:val="00166D25"/>
    <w:rsid w:val="001735CD"/>
    <w:rsid w:val="00175D2E"/>
    <w:rsid w:val="00181582"/>
    <w:rsid w:val="00182E63"/>
    <w:rsid w:val="00183791"/>
    <w:rsid w:val="001838D3"/>
    <w:rsid w:val="00184FD6"/>
    <w:rsid w:val="00191EDF"/>
    <w:rsid w:val="00192D39"/>
    <w:rsid w:val="0019390B"/>
    <w:rsid w:val="001944CA"/>
    <w:rsid w:val="00195935"/>
    <w:rsid w:val="001A02BB"/>
    <w:rsid w:val="001A27F8"/>
    <w:rsid w:val="001A2F8D"/>
    <w:rsid w:val="001B165D"/>
    <w:rsid w:val="001B7A59"/>
    <w:rsid w:val="001D172C"/>
    <w:rsid w:val="001D30EC"/>
    <w:rsid w:val="001D4B55"/>
    <w:rsid w:val="001D63C7"/>
    <w:rsid w:val="001E2641"/>
    <w:rsid w:val="001E678B"/>
    <w:rsid w:val="001E7D65"/>
    <w:rsid w:val="001F34B9"/>
    <w:rsid w:val="00206DD7"/>
    <w:rsid w:val="00211F5B"/>
    <w:rsid w:val="00221EF5"/>
    <w:rsid w:val="00232860"/>
    <w:rsid w:val="0023410C"/>
    <w:rsid w:val="002369E4"/>
    <w:rsid w:val="00236C37"/>
    <w:rsid w:val="002408E2"/>
    <w:rsid w:val="00240B53"/>
    <w:rsid w:val="002542D5"/>
    <w:rsid w:val="00254BEF"/>
    <w:rsid w:val="00255B59"/>
    <w:rsid w:val="002640BC"/>
    <w:rsid w:val="00264161"/>
    <w:rsid w:val="00265F82"/>
    <w:rsid w:val="00272095"/>
    <w:rsid w:val="002745C7"/>
    <w:rsid w:val="00275054"/>
    <w:rsid w:val="0027659C"/>
    <w:rsid w:val="002821ED"/>
    <w:rsid w:val="00284718"/>
    <w:rsid w:val="00285393"/>
    <w:rsid w:val="00285465"/>
    <w:rsid w:val="00286E82"/>
    <w:rsid w:val="00295C5E"/>
    <w:rsid w:val="0029794C"/>
    <w:rsid w:val="002A041B"/>
    <w:rsid w:val="002A2028"/>
    <w:rsid w:val="002A58C2"/>
    <w:rsid w:val="002A60A2"/>
    <w:rsid w:val="002A74D4"/>
    <w:rsid w:val="002A753A"/>
    <w:rsid w:val="002A7FF7"/>
    <w:rsid w:val="002B13EF"/>
    <w:rsid w:val="002B3F88"/>
    <w:rsid w:val="002B49EE"/>
    <w:rsid w:val="002B5594"/>
    <w:rsid w:val="002B7568"/>
    <w:rsid w:val="002C043F"/>
    <w:rsid w:val="002C210C"/>
    <w:rsid w:val="002C5B9D"/>
    <w:rsid w:val="002D02CE"/>
    <w:rsid w:val="002D2181"/>
    <w:rsid w:val="002D6D5A"/>
    <w:rsid w:val="002D7CF7"/>
    <w:rsid w:val="002E1B4D"/>
    <w:rsid w:val="002E3C20"/>
    <w:rsid w:val="002F3118"/>
    <w:rsid w:val="002F5D3B"/>
    <w:rsid w:val="00305587"/>
    <w:rsid w:val="00306DDE"/>
    <w:rsid w:val="00307795"/>
    <w:rsid w:val="00311E39"/>
    <w:rsid w:val="00314AE8"/>
    <w:rsid w:val="0031553D"/>
    <w:rsid w:val="003169E8"/>
    <w:rsid w:val="00317BC4"/>
    <w:rsid w:val="00320799"/>
    <w:rsid w:val="003218E0"/>
    <w:rsid w:val="00322DFF"/>
    <w:rsid w:val="00323227"/>
    <w:rsid w:val="00324B15"/>
    <w:rsid w:val="00331CCA"/>
    <w:rsid w:val="00335704"/>
    <w:rsid w:val="0034132A"/>
    <w:rsid w:val="00343474"/>
    <w:rsid w:val="0034499D"/>
    <w:rsid w:val="003466B8"/>
    <w:rsid w:val="0036279B"/>
    <w:rsid w:val="003630AC"/>
    <w:rsid w:val="00363A74"/>
    <w:rsid w:val="003706E6"/>
    <w:rsid w:val="003707B3"/>
    <w:rsid w:val="003751C2"/>
    <w:rsid w:val="00376BFB"/>
    <w:rsid w:val="0038336E"/>
    <w:rsid w:val="00385155"/>
    <w:rsid w:val="00391864"/>
    <w:rsid w:val="0039188E"/>
    <w:rsid w:val="00393760"/>
    <w:rsid w:val="00394A28"/>
    <w:rsid w:val="003954E1"/>
    <w:rsid w:val="003A28AC"/>
    <w:rsid w:val="003A4C0E"/>
    <w:rsid w:val="003A7BDA"/>
    <w:rsid w:val="003A7CFA"/>
    <w:rsid w:val="003A7F4E"/>
    <w:rsid w:val="003B0513"/>
    <w:rsid w:val="003B09C8"/>
    <w:rsid w:val="003B28DF"/>
    <w:rsid w:val="003B7A64"/>
    <w:rsid w:val="003C14BE"/>
    <w:rsid w:val="003C1CCB"/>
    <w:rsid w:val="003C27AD"/>
    <w:rsid w:val="003C641E"/>
    <w:rsid w:val="003D1A7B"/>
    <w:rsid w:val="003D5797"/>
    <w:rsid w:val="003D6144"/>
    <w:rsid w:val="003D64C4"/>
    <w:rsid w:val="003E012A"/>
    <w:rsid w:val="003E3574"/>
    <w:rsid w:val="003E5336"/>
    <w:rsid w:val="003E7269"/>
    <w:rsid w:val="003E7DD0"/>
    <w:rsid w:val="003E7F92"/>
    <w:rsid w:val="003F0A6C"/>
    <w:rsid w:val="003F37DA"/>
    <w:rsid w:val="003F5566"/>
    <w:rsid w:val="00402D68"/>
    <w:rsid w:val="00410154"/>
    <w:rsid w:val="00411DC9"/>
    <w:rsid w:val="004129BE"/>
    <w:rsid w:val="004149B8"/>
    <w:rsid w:val="00416480"/>
    <w:rsid w:val="00417AF4"/>
    <w:rsid w:val="00417BC1"/>
    <w:rsid w:val="00422838"/>
    <w:rsid w:val="00433AEA"/>
    <w:rsid w:val="004403ED"/>
    <w:rsid w:val="00441186"/>
    <w:rsid w:val="00442C04"/>
    <w:rsid w:val="00447B9B"/>
    <w:rsid w:val="004500B6"/>
    <w:rsid w:val="0045095B"/>
    <w:rsid w:val="00450FE2"/>
    <w:rsid w:val="004524A6"/>
    <w:rsid w:val="00453628"/>
    <w:rsid w:val="00454E5F"/>
    <w:rsid w:val="004559E1"/>
    <w:rsid w:val="0045665C"/>
    <w:rsid w:val="00456D42"/>
    <w:rsid w:val="00457EB1"/>
    <w:rsid w:val="00460FEA"/>
    <w:rsid w:val="00461992"/>
    <w:rsid w:val="004658AE"/>
    <w:rsid w:val="0047207F"/>
    <w:rsid w:val="00474816"/>
    <w:rsid w:val="00480658"/>
    <w:rsid w:val="0048133D"/>
    <w:rsid w:val="004824EF"/>
    <w:rsid w:val="00483639"/>
    <w:rsid w:val="0049279D"/>
    <w:rsid w:val="00492886"/>
    <w:rsid w:val="00492AA0"/>
    <w:rsid w:val="004956F9"/>
    <w:rsid w:val="00496A09"/>
    <w:rsid w:val="004970B3"/>
    <w:rsid w:val="004A42E2"/>
    <w:rsid w:val="004B1218"/>
    <w:rsid w:val="004B49DC"/>
    <w:rsid w:val="004B5840"/>
    <w:rsid w:val="004C2548"/>
    <w:rsid w:val="004C6F5A"/>
    <w:rsid w:val="004D14DD"/>
    <w:rsid w:val="004D3915"/>
    <w:rsid w:val="004E0054"/>
    <w:rsid w:val="004E1C42"/>
    <w:rsid w:val="004E40BC"/>
    <w:rsid w:val="004E4AE5"/>
    <w:rsid w:val="004E567D"/>
    <w:rsid w:val="004E6912"/>
    <w:rsid w:val="004E6FD3"/>
    <w:rsid w:val="004F13C6"/>
    <w:rsid w:val="004F1789"/>
    <w:rsid w:val="004F1B20"/>
    <w:rsid w:val="004F30EF"/>
    <w:rsid w:val="004F500B"/>
    <w:rsid w:val="004F69E0"/>
    <w:rsid w:val="00502118"/>
    <w:rsid w:val="00505702"/>
    <w:rsid w:val="00511EBA"/>
    <w:rsid w:val="005132CE"/>
    <w:rsid w:val="00516600"/>
    <w:rsid w:val="00522BA7"/>
    <w:rsid w:val="00523D3E"/>
    <w:rsid w:val="00531226"/>
    <w:rsid w:val="005339EC"/>
    <w:rsid w:val="00536670"/>
    <w:rsid w:val="00540C4E"/>
    <w:rsid w:val="00540D71"/>
    <w:rsid w:val="00541C55"/>
    <w:rsid w:val="00543B7B"/>
    <w:rsid w:val="00552D11"/>
    <w:rsid w:val="00554C42"/>
    <w:rsid w:val="005553E1"/>
    <w:rsid w:val="00575D2D"/>
    <w:rsid w:val="00576713"/>
    <w:rsid w:val="005826A3"/>
    <w:rsid w:val="00582B78"/>
    <w:rsid w:val="005860CD"/>
    <w:rsid w:val="005907C8"/>
    <w:rsid w:val="00594002"/>
    <w:rsid w:val="005A09E7"/>
    <w:rsid w:val="005A1C18"/>
    <w:rsid w:val="005A3587"/>
    <w:rsid w:val="005A3EF8"/>
    <w:rsid w:val="005A7568"/>
    <w:rsid w:val="005A765D"/>
    <w:rsid w:val="005B0A27"/>
    <w:rsid w:val="005B0D9D"/>
    <w:rsid w:val="005B299D"/>
    <w:rsid w:val="005B2D29"/>
    <w:rsid w:val="005B2D37"/>
    <w:rsid w:val="005B6651"/>
    <w:rsid w:val="005B7B9D"/>
    <w:rsid w:val="005C099C"/>
    <w:rsid w:val="005C6A72"/>
    <w:rsid w:val="005C6A7D"/>
    <w:rsid w:val="005D3F49"/>
    <w:rsid w:val="005D412C"/>
    <w:rsid w:val="005D45F5"/>
    <w:rsid w:val="005E417D"/>
    <w:rsid w:val="005E68BC"/>
    <w:rsid w:val="005E707B"/>
    <w:rsid w:val="005E7CD6"/>
    <w:rsid w:val="005F0C9F"/>
    <w:rsid w:val="005F3030"/>
    <w:rsid w:val="005F4A37"/>
    <w:rsid w:val="005F7E35"/>
    <w:rsid w:val="00600E3F"/>
    <w:rsid w:val="006013E4"/>
    <w:rsid w:val="00601E5E"/>
    <w:rsid w:val="006067C0"/>
    <w:rsid w:val="0061139A"/>
    <w:rsid w:val="0061436C"/>
    <w:rsid w:val="006168B7"/>
    <w:rsid w:val="00617463"/>
    <w:rsid w:val="00617C73"/>
    <w:rsid w:val="00626DCF"/>
    <w:rsid w:val="00630A49"/>
    <w:rsid w:val="0063102D"/>
    <w:rsid w:val="006322E6"/>
    <w:rsid w:val="00633E65"/>
    <w:rsid w:val="00635EF5"/>
    <w:rsid w:val="00646576"/>
    <w:rsid w:val="006471AF"/>
    <w:rsid w:val="00650940"/>
    <w:rsid w:val="006559F2"/>
    <w:rsid w:val="00657EF7"/>
    <w:rsid w:val="006609F0"/>
    <w:rsid w:val="00662F7C"/>
    <w:rsid w:val="00664136"/>
    <w:rsid w:val="00664DA0"/>
    <w:rsid w:val="00670612"/>
    <w:rsid w:val="00670A10"/>
    <w:rsid w:val="0068224E"/>
    <w:rsid w:val="006847C5"/>
    <w:rsid w:val="00684B29"/>
    <w:rsid w:val="00687EFF"/>
    <w:rsid w:val="00692FC0"/>
    <w:rsid w:val="00693B85"/>
    <w:rsid w:val="006A7CE6"/>
    <w:rsid w:val="006B1814"/>
    <w:rsid w:val="006C1E70"/>
    <w:rsid w:val="006C64CE"/>
    <w:rsid w:val="006D37B4"/>
    <w:rsid w:val="006D62CA"/>
    <w:rsid w:val="006E2C65"/>
    <w:rsid w:val="006E4502"/>
    <w:rsid w:val="006F13A0"/>
    <w:rsid w:val="006F583F"/>
    <w:rsid w:val="00707794"/>
    <w:rsid w:val="0072123C"/>
    <w:rsid w:val="00721577"/>
    <w:rsid w:val="00722542"/>
    <w:rsid w:val="00723018"/>
    <w:rsid w:val="00723870"/>
    <w:rsid w:val="00724B77"/>
    <w:rsid w:val="00724F07"/>
    <w:rsid w:val="007409AE"/>
    <w:rsid w:val="00740C39"/>
    <w:rsid w:val="00741488"/>
    <w:rsid w:val="00741670"/>
    <w:rsid w:val="00741AB4"/>
    <w:rsid w:val="007426D2"/>
    <w:rsid w:val="00742E19"/>
    <w:rsid w:val="00745C07"/>
    <w:rsid w:val="00750A52"/>
    <w:rsid w:val="007511E0"/>
    <w:rsid w:val="007514F3"/>
    <w:rsid w:val="007523CA"/>
    <w:rsid w:val="007574F4"/>
    <w:rsid w:val="0075780F"/>
    <w:rsid w:val="00761107"/>
    <w:rsid w:val="00762E37"/>
    <w:rsid w:val="00765D71"/>
    <w:rsid w:val="00770685"/>
    <w:rsid w:val="00772777"/>
    <w:rsid w:val="007752E1"/>
    <w:rsid w:val="0078075C"/>
    <w:rsid w:val="0078773E"/>
    <w:rsid w:val="00787886"/>
    <w:rsid w:val="00791298"/>
    <w:rsid w:val="007917F9"/>
    <w:rsid w:val="0079346D"/>
    <w:rsid w:val="007944F3"/>
    <w:rsid w:val="00795E62"/>
    <w:rsid w:val="00796DB2"/>
    <w:rsid w:val="007A027F"/>
    <w:rsid w:val="007A16B3"/>
    <w:rsid w:val="007A3BD3"/>
    <w:rsid w:val="007A78BA"/>
    <w:rsid w:val="007B03C8"/>
    <w:rsid w:val="007B2E02"/>
    <w:rsid w:val="007B54B0"/>
    <w:rsid w:val="007B5AA6"/>
    <w:rsid w:val="007C1ACE"/>
    <w:rsid w:val="007C21DF"/>
    <w:rsid w:val="007C2C5F"/>
    <w:rsid w:val="007C5F5A"/>
    <w:rsid w:val="007C7D2C"/>
    <w:rsid w:val="007D04DF"/>
    <w:rsid w:val="007D366E"/>
    <w:rsid w:val="007D3738"/>
    <w:rsid w:val="007D425C"/>
    <w:rsid w:val="007E195B"/>
    <w:rsid w:val="007E6C3A"/>
    <w:rsid w:val="007E6F00"/>
    <w:rsid w:val="007F1EE9"/>
    <w:rsid w:val="007F329F"/>
    <w:rsid w:val="007F4B67"/>
    <w:rsid w:val="007F4C3A"/>
    <w:rsid w:val="007F4D17"/>
    <w:rsid w:val="007F7EC8"/>
    <w:rsid w:val="00805C1A"/>
    <w:rsid w:val="008071F4"/>
    <w:rsid w:val="00811685"/>
    <w:rsid w:val="00816CFD"/>
    <w:rsid w:val="0081751F"/>
    <w:rsid w:val="00820E61"/>
    <w:rsid w:val="00821CAC"/>
    <w:rsid w:val="00825AD6"/>
    <w:rsid w:val="00827902"/>
    <w:rsid w:val="0083340D"/>
    <w:rsid w:val="00841400"/>
    <w:rsid w:val="00844FA6"/>
    <w:rsid w:val="0084614A"/>
    <w:rsid w:val="00846BA4"/>
    <w:rsid w:val="008506F8"/>
    <w:rsid w:val="00851453"/>
    <w:rsid w:val="008545A8"/>
    <w:rsid w:val="00855767"/>
    <w:rsid w:val="00855D11"/>
    <w:rsid w:val="00856ACA"/>
    <w:rsid w:val="0086172F"/>
    <w:rsid w:val="00861A19"/>
    <w:rsid w:val="00864C93"/>
    <w:rsid w:val="00870BAD"/>
    <w:rsid w:val="0087201E"/>
    <w:rsid w:val="008729F1"/>
    <w:rsid w:val="00873E9D"/>
    <w:rsid w:val="008741FA"/>
    <w:rsid w:val="0087537E"/>
    <w:rsid w:val="00877BDA"/>
    <w:rsid w:val="00880239"/>
    <w:rsid w:val="008824FF"/>
    <w:rsid w:val="0088507D"/>
    <w:rsid w:val="00887108"/>
    <w:rsid w:val="00890C97"/>
    <w:rsid w:val="00891C9D"/>
    <w:rsid w:val="00891F9D"/>
    <w:rsid w:val="008948F7"/>
    <w:rsid w:val="0089521D"/>
    <w:rsid w:val="008953FA"/>
    <w:rsid w:val="008978AA"/>
    <w:rsid w:val="008A604D"/>
    <w:rsid w:val="008B0508"/>
    <w:rsid w:val="008B247D"/>
    <w:rsid w:val="008B7F76"/>
    <w:rsid w:val="008C1F40"/>
    <w:rsid w:val="008C3E5E"/>
    <w:rsid w:val="008C6896"/>
    <w:rsid w:val="008C7735"/>
    <w:rsid w:val="008D0C09"/>
    <w:rsid w:val="008D605C"/>
    <w:rsid w:val="008D7A5B"/>
    <w:rsid w:val="008E204A"/>
    <w:rsid w:val="008E422B"/>
    <w:rsid w:val="008E4348"/>
    <w:rsid w:val="008E6D17"/>
    <w:rsid w:val="008F3161"/>
    <w:rsid w:val="008F7A9E"/>
    <w:rsid w:val="00901B88"/>
    <w:rsid w:val="00905030"/>
    <w:rsid w:val="00907B3B"/>
    <w:rsid w:val="00915E9A"/>
    <w:rsid w:val="00924BA8"/>
    <w:rsid w:val="00926925"/>
    <w:rsid w:val="009305F8"/>
    <w:rsid w:val="00932C74"/>
    <w:rsid w:val="0093501A"/>
    <w:rsid w:val="009367EB"/>
    <w:rsid w:val="00940925"/>
    <w:rsid w:val="009409B5"/>
    <w:rsid w:val="0094231F"/>
    <w:rsid w:val="00942B07"/>
    <w:rsid w:val="00954B7A"/>
    <w:rsid w:val="00955642"/>
    <w:rsid w:val="00955FFD"/>
    <w:rsid w:val="0095665C"/>
    <w:rsid w:val="00956801"/>
    <w:rsid w:val="00956D6B"/>
    <w:rsid w:val="00964A6A"/>
    <w:rsid w:val="009661FA"/>
    <w:rsid w:val="00966DA3"/>
    <w:rsid w:val="0096727C"/>
    <w:rsid w:val="009726CC"/>
    <w:rsid w:val="00973535"/>
    <w:rsid w:val="00983243"/>
    <w:rsid w:val="00986F5C"/>
    <w:rsid w:val="00987470"/>
    <w:rsid w:val="00991BB8"/>
    <w:rsid w:val="009964DC"/>
    <w:rsid w:val="009A1154"/>
    <w:rsid w:val="009A2190"/>
    <w:rsid w:val="009A325F"/>
    <w:rsid w:val="009A5560"/>
    <w:rsid w:val="009A7530"/>
    <w:rsid w:val="009A76B3"/>
    <w:rsid w:val="009B0DD6"/>
    <w:rsid w:val="009B0E71"/>
    <w:rsid w:val="009B5664"/>
    <w:rsid w:val="009B760E"/>
    <w:rsid w:val="009C0228"/>
    <w:rsid w:val="009C0AD5"/>
    <w:rsid w:val="009C2D97"/>
    <w:rsid w:val="009C31D3"/>
    <w:rsid w:val="009C78A6"/>
    <w:rsid w:val="009D53B7"/>
    <w:rsid w:val="009D54DA"/>
    <w:rsid w:val="009E10A1"/>
    <w:rsid w:val="009E1DB4"/>
    <w:rsid w:val="009E4CB7"/>
    <w:rsid w:val="009E6BBA"/>
    <w:rsid w:val="009F2824"/>
    <w:rsid w:val="009F54CE"/>
    <w:rsid w:val="009F636C"/>
    <w:rsid w:val="00A0285B"/>
    <w:rsid w:val="00A03AB7"/>
    <w:rsid w:val="00A103E1"/>
    <w:rsid w:val="00A12A6B"/>
    <w:rsid w:val="00A2248A"/>
    <w:rsid w:val="00A23106"/>
    <w:rsid w:val="00A243D2"/>
    <w:rsid w:val="00A327F5"/>
    <w:rsid w:val="00A33FAB"/>
    <w:rsid w:val="00A409D7"/>
    <w:rsid w:val="00A44C8F"/>
    <w:rsid w:val="00A45765"/>
    <w:rsid w:val="00A51BBA"/>
    <w:rsid w:val="00A64CCD"/>
    <w:rsid w:val="00A72C03"/>
    <w:rsid w:val="00A83C39"/>
    <w:rsid w:val="00A8549A"/>
    <w:rsid w:val="00A8697D"/>
    <w:rsid w:val="00A918F6"/>
    <w:rsid w:val="00A91F10"/>
    <w:rsid w:val="00A9381E"/>
    <w:rsid w:val="00A94BC7"/>
    <w:rsid w:val="00A9599F"/>
    <w:rsid w:val="00A964F3"/>
    <w:rsid w:val="00A973ED"/>
    <w:rsid w:val="00AA477B"/>
    <w:rsid w:val="00AA4B1C"/>
    <w:rsid w:val="00AA4F67"/>
    <w:rsid w:val="00AA60D4"/>
    <w:rsid w:val="00AA66CA"/>
    <w:rsid w:val="00AB1EB6"/>
    <w:rsid w:val="00AB42E2"/>
    <w:rsid w:val="00AB6B3B"/>
    <w:rsid w:val="00AB6C10"/>
    <w:rsid w:val="00AB7A2C"/>
    <w:rsid w:val="00AC1AFC"/>
    <w:rsid w:val="00AC3449"/>
    <w:rsid w:val="00AC3729"/>
    <w:rsid w:val="00AC46F1"/>
    <w:rsid w:val="00AC4D86"/>
    <w:rsid w:val="00AD60D8"/>
    <w:rsid w:val="00AD78E8"/>
    <w:rsid w:val="00AD7A88"/>
    <w:rsid w:val="00AF3B80"/>
    <w:rsid w:val="00AF614B"/>
    <w:rsid w:val="00AF6959"/>
    <w:rsid w:val="00AF7B54"/>
    <w:rsid w:val="00B0196D"/>
    <w:rsid w:val="00B05876"/>
    <w:rsid w:val="00B10BAE"/>
    <w:rsid w:val="00B12C97"/>
    <w:rsid w:val="00B134C8"/>
    <w:rsid w:val="00B15C75"/>
    <w:rsid w:val="00B23884"/>
    <w:rsid w:val="00B2520F"/>
    <w:rsid w:val="00B32108"/>
    <w:rsid w:val="00B32340"/>
    <w:rsid w:val="00B3670D"/>
    <w:rsid w:val="00B43AA7"/>
    <w:rsid w:val="00B53130"/>
    <w:rsid w:val="00B629DE"/>
    <w:rsid w:val="00B63A8B"/>
    <w:rsid w:val="00B64701"/>
    <w:rsid w:val="00B70DF2"/>
    <w:rsid w:val="00B710B0"/>
    <w:rsid w:val="00B7113A"/>
    <w:rsid w:val="00B73171"/>
    <w:rsid w:val="00B73F5E"/>
    <w:rsid w:val="00B7450C"/>
    <w:rsid w:val="00B7465C"/>
    <w:rsid w:val="00B7550C"/>
    <w:rsid w:val="00B7718E"/>
    <w:rsid w:val="00B776A1"/>
    <w:rsid w:val="00B82073"/>
    <w:rsid w:val="00B848D3"/>
    <w:rsid w:val="00B87FE9"/>
    <w:rsid w:val="00B9245E"/>
    <w:rsid w:val="00B9281C"/>
    <w:rsid w:val="00B928D3"/>
    <w:rsid w:val="00B963AB"/>
    <w:rsid w:val="00BA3432"/>
    <w:rsid w:val="00BA3E99"/>
    <w:rsid w:val="00BA4386"/>
    <w:rsid w:val="00BB32EB"/>
    <w:rsid w:val="00BB3571"/>
    <w:rsid w:val="00BB45B4"/>
    <w:rsid w:val="00BB5621"/>
    <w:rsid w:val="00BC10D6"/>
    <w:rsid w:val="00BC1EE6"/>
    <w:rsid w:val="00BC60EC"/>
    <w:rsid w:val="00BC6C0E"/>
    <w:rsid w:val="00BC6F2C"/>
    <w:rsid w:val="00BC7C51"/>
    <w:rsid w:val="00BD021C"/>
    <w:rsid w:val="00BD2A71"/>
    <w:rsid w:val="00BD4897"/>
    <w:rsid w:val="00BD61BB"/>
    <w:rsid w:val="00BE0124"/>
    <w:rsid w:val="00BE076E"/>
    <w:rsid w:val="00BE14C3"/>
    <w:rsid w:val="00BE351C"/>
    <w:rsid w:val="00BF12D0"/>
    <w:rsid w:val="00BF6D5C"/>
    <w:rsid w:val="00BF6E92"/>
    <w:rsid w:val="00BF72E0"/>
    <w:rsid w:val="00C02184"/>
    <w:rsid w:val="00C04B92"/>
    <w:rsid w:val="00C15A79"/>
    <w:rsid w:val="00C15C25"/>
    <w:rsid w:val="00C16842"/>
    <w:rsid w:val="00C2686F"/>
    <w:rsid w:val="00C2687D"/>
    <w:rsid w:val="00C3089B"/>
    <w:rsid w:val="00C34F73"/>
    <w:rsid w:val="00C36155"/>
    <w:rsid w:val="00C41657"/>
    <w:rsid w:val="00C42ED9"/>
    <w:rsid w:val="00C437CB"/>
    <w:rsid w:val="00C4401D"/>
    <w:rsid w:val="00C522FF"/>
    <w:rsid w:val="00C52C07"/>
    <w:rsid w:val="00C55F14"/>
    <w:rsid w:val="00C61112"/>
    <w:rsid w:val="00C61BC2"/>
    <w:rsid w:val="00C64818"/>
    <w:rsid w:val="00C66AD1"/>
    <w:rsid w:val="00C7007A"/>
    <w:rsid w:val="00C72544"/>
    <w:rsid w:val="00C73290"/>
    <w:rsid w:val="00C76618"/>
    <w:rsid w:val="00C7788C"/>
    <w:rsid w:val="00C806C9"/>
    <w:rsid w:val="00C8204F"/>
    <w:rsid w:val="00C838DD"/>
    <w:rsid w:val="00C91220"/>
    <w:rsid w:val="00C91884"/>
    <w:rsid w:val="00C93127"/>
    <w:rsid w:val="00CA5FAE"/>
    <w:rsid w:val="00CA7113"/>
    <w:rsid w:val="00CA7131"/>
    <w:rsid w:val="00CB24D1"/>
    <w:rsid w:val="00CB2751"/>
    <w:rsid w:val="00CB4DBC"/>
    <w:rsid w:val="00CB78F6"/>
    <w:rsid w:val="00CC0B71"/>
    <w:rsid w:val="00CC1098"/>
    <w:rsid w:val="00CC184D"/>
    <w:rsid w:val="00CC246E"/>
    <w:rsid w:val="00CC2FB6"/>
    <w:rsid w:val="00CC6F44"/>
    <w:rsid w:val="00CC7050"/>
    <w:rsid w:val="00CD4164"/>
    <w:rsid w:val="00CE5602"/>
    <w:rsid w:val="00CF12D5"/>
    <w:rsid w:val="00CF48ED"/>
    <w:rsid w:val="00D03149"/>
    <w:rsid w:val="00D0330D"/>
    <w:rsid w:val="00D03BAB"/>
    <w:rsid w:val="00D055D5"/>
    <w:rsid w:val="00D10953"/>
    <w:rsid w:val="00D11A08"/>
    <w:rsid w:val="00D158A4"/>
    <w:rsid w:val="00D16873"/>
    <w:rsid w:val="00D1798C"/>
    <w:rsid w:val="00D23A42"/>
    <w:rsid w:val="00D25BF7"/>
    <w:rsid w:val="00D26045"/>
    <w:rsid w:val="00D2661A"/>
    <w:rsid w:val="00D36CB9"/>
    <w:rsid w:val="00D4296F"/>
    <w:rsid w:val="00D47642"/>
    <w:rsid w:val="00D51726"/>
    <w:rsid w:val="00D52D1F"/>
    <w:rsid w:val="00D53EDD"/>
    <w:rsid w:val="00D60857"/>
    <w:rsid w:val="00D6240C"/>
    <w:rsid w:val="00D62C6D"/>
    <w:rsid w:val="00D63584"/>
    <w:rsid w:val="00D63CC9"/>
    <w:rsid w:val="00D66182"/>
    <w:rsid w:val="00D673B7"/>
    <w:rsid w:val="00D67726"/>
    <w:rsid w:val="00D700D6"/>
    <w:rsid w:val="00D77725"/>
    <w:rsid w:val="00D77D36"/>
    <w:rsid w:val="00D80300"/>
    <w:rsid w:val="00D85051"/>
    <w:rsid w:val="00D87172"/>
    <w:rsid w:val="00D87996"/>
    <w:rsid w:val="00D94A11"/>
    <w:rsid w:val="00D97CAC"/>
    <w:rsid w:val="00D97CB4"/>
    <w:rsid w:val="00DA516F"/>
    <w:rsid w:val="00DA52B7"/>
    <w:rsid w:val="00DB0146"/>
    <w:rsid w:val="00DB4E23"/>
    <w:rsid w:val="00DC04B3"/>
    <w:rsid w:val="00DD137B"/>
    <w:rsid w:val="00DD14D4"/>
    <w:rsid w:val="00DD3339"/>
    <w:rsid w:val="00DD60C8"/>
    <w:rsid w:val="00DE3526"/>
    <w:rsid w:val="00DF1638"/>
    <w:rsid w:val="00DF3C7C"/>
    <w:rsid w:val="00E03E15"/>
    <w:rsid w:val="00E03F5C"/>
    <w:rsid w:val="00E0754B"/>
    <w:rsid w:val="00E167A1"/>
    <w:rsid w:val="00E176E3"/>
    <w:rsid w:val="00E17E41"/>
    <w:rsid w:val="00E204D7"/>
    <w:rsid w:val="00E21B7C"/>
    <w:rsid w:val="00E300A5"/>
    <w:rsid w:val="00E331A1"/>
    <w:rsid w:val="00E36E1F"/>
    <w:rsid w:val="00E40C8B"/>
    <w:rsid w:val="00E440D8"/>
    <w:rsid w:val="00E44F13"/>
    <w:rsid w:val="00E45559"/>
    <w:rsid w:val="00E478DD"/>
    <w:rsid w:val="00E50ED8"/>
    <w:rsid w:val="00E5689B"/>
    <w:rsid w:val="00E61292"/>
    <w:rsid w:val="00E65A5C"/>
    <w:rsid w:val="00E66771"/>
    <w:rsid w:val="00E7548D"/>
    <w:rsid w:val="00E809E5"/>
    <w:rsid w:val="00E8127F"/>
    <w:rsid w:val="00E81D54"/>
    <w:rsid w:val="00E86C30"/>
    <w:rsid w:val="00E95748"/>
    <w:rsid w:val="00EA635E"/>
    <w:rsid w:val="00EA7D9D"/>
    <w:rsid w:val="00EB0752"/>
    <w:rsid w:val="00EB25F3"/>
    <w:rsid w:val="00EB33BB"/>
    <w:rsid w:val="00EB4BCD"/>
    <w:rsid w:val="00EB536E"/>
    <w:rsid w:val="00EB71BD"/>
    <w:rsid w:val="00EC7A2E"/>
    <w:rsid w:val="00EE0585"/>
    <w:rsid w:val="00EE1D9C"/>
    <w:rsid w:val="00EE5500"/>
    <w:rsid w:val="00EE706C"/>
    <w:rsid w:val="00EF1363"/>
    <w:rsid w:val="00EF1C3C"/>
    <w:rsid w:val="00EF30F5"/>
    <w:rsid w:val="00EF470B"/>
    <w:rsid w:val="00F008EA"/>
    <w:rsid w:val="00F04E6C"/>
    <w:rsid w:val="00F06023"/>
    <w:rsid w:val="00F06A91"/>
    <w:rsid w:val="00F11DA6"/>
    <w:rsid w:val="00F11FBB"/>
    <w:rsid w:val="00F12E3A"/>
    <w:rsid w:val="00F14478"/>
    <w:rsid w:val="00F152D5"/>
    <w:rsid w:val="00F27EE8"/>
    <w:rsid w:val="00F306B1"/>
    <w:rsid w:val="00F3510E"/>
    <w:rsid w:val="00F362F9"/>
    <w:rsid w:val="00F44255"/>
    <w:rsid w:val="00F45829"/>
    <w:rsid w:val="00F46C5B"/>
    <w:rsid w:val="00F47753"/>
    <w:rsid w:val="00F47AB3"/>
    <w:rsid w:val="00F504E5"/>
    <w:rsid w:val="00F5150C"/>
    <w:rsid w:val="00F565E4"/>
    <w:rsid w:val="00F62A7F"/>
    <w:rsid w:val="00F6351B"/>
    <w:rsid w:val="00F635ED"/>
    <w:rsid w:val="00F65876"/>
    <w:rsid w:val="00F67B27"/>
    <w:rsid w:val="00F73C8D"/>
    <w:rsid w:val="00F74EEF"/>
    <w:rsid w:val="00F75835"/>
    <w:rsid w:val="00F76A4F"/>
    <w:rsid w:val="00F76FE6"/>
    <w:rsid w:val="00F77CB0"/>
    <w:rsid w:val="00F80AA9"/>
    <w:rsid w:val="00F81FE1"/>
    <w:rsid w:val="00F849B0"/>
    <w:rsid w:val="00F8570C"/>
    <w:rsid w:val="00F85E10"/>
    <w:rsid w:val="00F90BE3"/>
    <w:rsid w:val="00F91A42"/>
    <w:rsid w:val="00F9340E"/>
    <w:rsid w:val="00F95C17"/>
    <w:rsid w:val="00F96D76"/>
    <w:rsid w:val="00FA0E15"/>
    <w:rsid w:val="00FA22E7"/>
    <w:rsid w:val="00FA3889"/>
    <w:rsid w:val="00FB0092"/>
    <w:rsid w:val="00FB32C5"/>
    <w:rsid w:val="00FB3594"/>
    <w:rsid w:val="00FC577E"/>
    <w:rsid w:val="00FD1E6D"/>
    <w:rsid w:val="00FD3290"/>
    <w:rsid w:val="00FE1499"/>
    <w:rsid w:val="00FE15F7"/>
    <w:rsid w:val="00FE1D59"/>
    <w:rsid w:val="00FE3B0F"/>
    <w:rsid w:val="00FE43B4"/>
    <w:rsid w:val="00FE5026"/>
    <w:rsid w:val="00FE6E8E"/>
    <w:rsid w:val="00FF1BF1"/>
    <w:rsid w:val="00FF5DDF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3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ssageHeaderFirst">
    <w:name w:val="Message Header First"/>
    <w:basedOn w:val="MessageHeader"/>
    <w:next w:val="MessageHeader"/>
    <w:rsid w:val="00C437CB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1080"/>
      </w:tabs>
      <w:spacing w:before="360" w:after="120" w:line="240" w:lineRule="atLeast"/>
    </w:pPr>
    <w:rPr>
      <w:rFonts w:ascii="Garamond" w:hAnsi="Garamond"/>
      <w:caps/>
      <w:sz w:val="18"/>
    </w:rPr>
  </w:style>
  <w:style w:type="character" w:customStyle="1" w:styleId="MessageHeaderLabel">
    <w:name w:val="Message Header Label"/>
    <w:rsid w:val="00C437CB"/>
    <w:rPr>
      <w:b/>
      <w:sz w:val="18"/>
    </w:rPr>
  </w:style>
  <w:style w:type="paragraph" w:styleId="MessageHeader">
    <w:name w:val="Message Header"/>
    <w:basedOn w:val="Normal"/>
    <w:rsid w:val="00C437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Header">
    <w:name w:val="header"/>
    <w:basedOn w:val="Normal"/>
    <w:rsid w:val="00C437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37CB"/>
    <w:pPr>
      <w:tabs>
        <w:tab w:val="center" w:pos="4320"/>
        <w:tab w:val="right" w:pos="8640"/>
      </w:tabs>
    </w:pPr>
  </w:style>
  <w:style w:type="character" w:styleId="PageNumber">
    <w:name w:val="page number"/>
    <w:rsid w:val="00C437CB"/>
    <w:rPr>
      <w:rFonts w:ascii="Arial" w:hAnsi="Arial"/>
      <w:b/>
      <w:sz w:val="20"/>
    </w:rPr>
  </w:style>
  <w:style w:type="table" w:styleId="TableGrid">
    <w:name w:val="Table Grid"/>
    <w:basedOn w:val="TableNormal"/>
    <w:rsid w:val="00C7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semiHidden/>
    <w:rsid w:val="00C437CB"/>
    <w:rPr>
      <w:vertAlign w:val="superscript"/>
    </w:rPr>
  </w:style>
  <w:style w:type="paragraph" w:styleId="BalloonText">
    <w:name w:val="Balloon Text"/>
    <w:basedOn w:val="Normal"/>
    <w:semiHidden/>
    <w:rsid w:val="00E754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7470"/>
    <w:rPr>
      <w:color w:val="0000FF"/>
      <w:u w:val="single"/>
    </w:rPr>
  </w:style>
  <w:style w:type="paragraph" w:styleId="DocumentMap">
    <w:name w:val="Document Map"/>
    <w:basedOn w:val="Normal"/>
    <w:semiHidden/>
    <w:rsid w:val="00C34F73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101577"/>
    <w:rPr>
      <w:b/>
      <w:color w:val="000000"/>
      <w:sz w:val="24"/>
    </w:rPr>
  </w:style>
  <w:style w:type="character" w:styleId="CommentReference">
    <w:name w:val="annotation reference"/>
    <w:basedOn w:val="DefaultParagraphFont"/>
    <w:uiPriority w:val="99"/>
    <w:semiHidden/>
    <w:rsid w:val="00924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4BA8"/>
  </w:style>
  <w:style w:type="paragraph" w:styleId="CommentSubject">
    <w:name w:val="annotation subject"/>
    <w:basedOn w:val="CommentText"/>
    <w:next w:val="CommentText"/>
    <w:semiHidden/>
    <w:rsid w:val="00924BA8"/>
    <w:rPr>
      <w:b/>
      <w:bCs/>
    </w:rPr>
  </w:style>
  <w:style w:type="paragraph" w:customStyle="1" w:styleId="Style1">
    <w:name w:val="Style1"/>
    <w:basedOn w:val="Normal"/>
    <w:link w:val="Style1Char"/>
    <w:qFormat/>
    <w:rsid w:val="00EE0585"/>
    <w:rPr>
      <w:rFonts w:eastAsia="Calibri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EE0585"/>
    <w:rPr>
      <w:rFonts w:eastAsia="Calibri"/>
      <w:sz w:val="24"/>
      <w:szCs w:val="24"/>
    </w:rPr>
  </w:style>
  <w:style w:type="paragraph" w:styleId="Revision">
    <w:name w:val="Revision"/>
    <w:hidden/>
    <w:uiPriority w:val="99"/>
    <w:semiHidden/>
    <w:rsid w:val="00541C55"/>
  </w:style>
  <w:style w:type="paragraph" w:styleId="NoSpacing">
    <w:name w:val="No Spacing"/>
    <w:uiPriority w:val="1"/>
    <w:qFormat/>
    <w:rsid w:val="0078773E"/>
    <w:pPr>
      <w:jc w:val="both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BA4386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53EDD"/>
  </w:style>
  <w:style w:type="paragraph" w:styleId="PlainText">
    <w:name w:val="Plain Text"/>
    <w:basedOn w:val="Normal"/>
    <w:link w:val="PlainTextChar"/>
    <w:uiPriority w:val="99"/>
    <w:unhideWhenUsed/>
    <w:rsid w:val="00DA516F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A516F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29794C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LPessag\My%20Documents\Secondary%20Markey%20Escrow%20Agreement\procedural%20notic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2BC16F47B89749A444A81FDE0001B2" ma:contentTypeVersion="3" ma:contentTypeDescription="Create a new document." ma:contentTypeScope="" ma:versionID="a3303acb324c4b2dc0995ee01e9d13c6">
  <xsd:schema xmlns:xsd="http://www.w3.org/2001/XMLSchema" xmlns:p="http://schemas.microsoft.com/office/2006/metadata/properties" xmlns:ns2="0fda6d95-2d64-46bf-b170-2c7ce5d93539" targetNamespace="http://schemas.microsoft.com/office/2006/metadata/properties" ma:root="true" ma:fieldsID="3966a2d78bb50822aaa279496a4ce013" ns2:_="">
    <xsd:import namespace="0fda6d95-2d64-46bf-b170-2c7ce5d93539"/>
    <xsd:element name="properties">
      <xsd:complexType>
        <xsd:sequence>
          <xsd:element name="documentManagement">
            <xsd:complexType>
              <xsd:all>
                <xsd:element ref="ns2:Notice_x0020_Title" minOccurs="0"/>
                <xsd:element ref="ns2:Effective_x0020_Date" minOccurs="0"/>
                <xsd:element ref="ns2:Expiration_x0020_Date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fda6d95-2d64-46bf-b170-2c7ce5d93539" elementFormDefault="qualified">
    <xsd:import namespace="http://schemas.microsoft.com/office/2006/documentManagement/types"/>
    <xsd:element name="Notice_x0020_Title" ma:index="8" nillable="true" ma:displayName="Notice Title" ma:internalName="Notice_x0020_Title">
      <xsd:simpleType>
        <xsd:restriction base="dms:Text">
          <xsd:maxLength value="255"/>
        </xsd:restriction>
      </xsd:simpleType>
    </xsd:element>
    <xsd:element name="Effective_x0020_Date" ma:index="9" nillable="true" ma:displayName="Effective Date" ma:format="DateOnly" ma:internalName="Effective_x0020_Date">
      <xsd:simpleType>
        <xsd:restriction base="dms:DateTime"/>
      </xsd:simpleType>
    </xsd:element>
    <xsd:element name="Expiration_x0020_Date0" ma:index="10" nillable="true" ma:displayName="Expiration Date" ma:format="DateOnly" ma:internalName="Expiration_x0020_Date0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Control Numbe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Notice_x0020_Title xmlns="0fda6d95-2d64-46bf-b170-2c7ce5d93539">Secondary Market Sales by SBA Lenders  </Notice_x0020_Title>
    <Expiration_x0020_Date0 xmlns="0fda6d95-2d64-46bf-b170-2c7ce5d93539">2011-07-01T04:00:00+00:00</Expiration_x0020_Date0>
    <Effective_x0020_Date xmlns="0fda6d95-2d64-46bf-b170-2c7ce5d93539">2010-07-07T04:00:00+00:00</Effective_x0020_Dat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231F6-3F16-4E0B-B818-23634559C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FB42E0-2514-47E4-B4B7-175E8DEDF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a6d95-2d64-46bf-b170-2c7ce5d9353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C55D54C-B2B2-4946-84DC-1DD05D0552F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C03865E-8F40-41A1-BE09-AF7493CF6115}">
  <ds:schemaRefs>
    <ds:schemaRef ds:uri="http://schemas.microsoft.com/office/2006/metadata/properties"/>
    <ds:schemaRef ds:uri="0fda6d95-2d64-46bf-b170-2c7ce5d93539"/>
  </ds:schemaRefs>
</ds:datastoreItem>
</file>

<file path=customXml/itemProps5.xml><?xml version="1.0" encoding="utf-8"?>
<ds:datastoreItem xmlns:ds="http://schemas.openxmlformats.org/officeDocument/2006/customXml" ds:itemID="{025691C9-1974-478A-ABDB-E76370F4B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procedural notice template.dotx</Template>
  <TotalTime>1</TotalTime>
  <Pages>4</Pages>
  <Words>1299</Words>
  <Characters>6773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Clearance Word Document</vt:lpstr>
    </vt:vector>
  </TitlesOfParts>
  <Company>Small Business Administration</Company>
  <LinksUpToDate>false</LinksUpToDate>
  <CharactersWithSpaces>8056</CharactersWithSpaces>
  <SharedDoc>false</SharedDoc>
  <HLinks>
    <vt:vector size="6" baseType="variant">
      <vt:variant>
        <vt:i4>1245293</vt:i4>
      </vt:variant>
      <vt:variant>
        <vt:i4>6</vt:i4>
      </vt:variant>
      <vt:variant>
        <vt:i4>0</vt:i4>
      </vt:variant>
      <vt:variant>
        <vt:i4>5</vt:i4>
      </vt:variant>
      <vt:variant>
        <vt:lpwstr>mailto:janet.tasker@sba.gov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Clearance Word Document</dc:title>
  <dc:subject>Procedural Notice Secondary Market Sales Jan 2011</dc:subject>
  <dc:creator>KLPessag</dc:creator>
  <dc:description>Version put into clearnce by Rhonda merged with OGC coments</dc:description>
  <cp:lastModifiedBy>Lawan Russell</cp:lastModifiedBy>
  <cp:revision>2</cp:revision>
  <cp:lastPrinted>2011-04-15T16:31:00Z</cp:lastPrinted>
  <dcterms:created xsi:type="dcterms:W3CDTF">2011-04-15T16:38:00Z</dcterms:created>
  <dcterms:modified xsi:type="dcterms:W3CDTF">2011-04-15T16:38:00Z</dcterms:modified>
  <cp:category>Clearance Doc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